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2EE3A" w14:textId="6894D8AE" w:rsidR="002432F6" w:rsidRPr="002C71F6" w:rsidRDefault="00B23AF1" w:rsidP="00830BAD">
      <w:pPr>
        <w:spacing w:after="0" w:line="240" w:lineRule="auto"/>
        <w:jc w:val="both"/>
        <w:rPr>
          <w:rFonts w:cstheme="minorHAnsi"/>
          <w:b/>
          <w:sz w:val="28"/>
        </w:rPr>
      </w:pPr>
      <w:r w:rsidRPr="002C71F6">
        <w:rPr>
          <w:rFonts w:cstheme="minorHAnsi"/>
          <w:b/>
          <w:sz w:val="28"/>
        </w:rPr>
        <w:t>The influence o</w:t>
      </w:r>
      <w:r>
        <w:rPr>
          <w:rFonts w:cstheme="minorHAnsi"/>
          <w:b/>
          <w:sz w:val="28"/>
        </w:rPr>
        <w:t>f macronutrient intake, stress a</w:t>
      </w:r>
      <w:r w:rsidRPr="002C71F6">
        <w:rPr>
          <w:rFonts w:cstheme="minorHAnsi"/>
          <w:b/>
          <w:sz w:val="28"/>
        </w:rPr>
        <w:t xml:space="preserve">nd prostaglandin levels (pgf2α) of urine </w:t>
      </w:r>
      <w:r>
        <w:rPr>
          <w:rFonts w:cstheme="minorHAnsi"/>
          <w:b/>
          <w:sz w:val="28"/>
        </w:rPr>
        <w:t>w</w:t>
      </w:r>
      <w:r w:rsidRPr="002C71F6">
        <w:rPr>
          <w:rFonts w:cstheme="minorHAnsi"/>
          <w:b/>
          <w:sz w:val="28"/>
        </w:rPr>
        <w:t>ith the incidence of dysmenor</w:t>
      </w:r>
      <w:r w:rsidR="0084413E">
        <w:rPr>
          <w:rFonts w:cstheme="minorHAnsi"/>
          <w:b/>
          <w:sz w:val="28"/>
        </w:rPr>
        <w:t>rhea</w:t>
      </w:r>
      <w:r w:rsidRPr="002C71F6">
        <w:rPr>
          <w:rFonts w:cstheme="minorHAnsi"/>
          <w:b/>
          <w:sz w:val="28"/>
        </w:rPr>
        <w:t xml:space="preserve"> in adolescents </w:t>
      </w:r>
    </w:p>
    <w:p w14:paraId="2D4A252D" w14:textId="77777777" w:rsidR="00092FEB" w:rsidRPr="00830BAD" w:rsidRDefault="00092FEB" w:rsidP="00830BAD">
      <w:pPr>
        <w:spacing w:after="0" w:line="240" w:lineRule="auto"/>
        <w:jc w:val="both"/>
        <w:rPr>
          <w:rFonts w:cstheme="minorHAnsi"/>
          <w:b/>
        </w:rPr>
      </w:pPr>
    </w:p>
    <w:p w14:paraId="1080FDCD" w14:textId="15673EEF" w:rsidR="000F5885" w:rsidRPr="00830BAD" w:rsidRDefault="002432F6" w:rsidP="00830BAD">
      <w:pPr>
        <w:spacing w:after="0" w:line="240" w:lineRule="auto"/>
        <w:jc w:val="both"/>
        <w:rPr>
          <w:rFonts w:cstheme="minorHAnsi"/>
          <w:vertAlign w:val="superscript"/>
        </w:rPr>
      </w:pPr>
      <w:r w:rsidRPr="00830BAD">
        <w:rPr>
          <w:rFonts w:cstheme="minorHAnsi"/>
        </w:rPr>
        <w:t>Asriani Tahir</w:t>
      </w:r>
      <w:r w:rsidR="00A147FC" w:rsidRPr="00830BAD">
        <w:rPr>
          <w:rFonts w:cstheme="minorHAnsi"/>
          <w:vertAlign w:val="superscript"/>
        </w:rPr>
        <w:t>a</w:t>
      </w:r>
      <w:r w:rsidRPr="00830BAD">
        <w:rPr>
          <w:rFonts w:cstheme="minorHAnsi"/>
        </w:rPr>
        <w:t>, Andi Wardihan Sinrang</w:t>
      </w:r>
      <w:r w:rsidR="008358C0">
        <w:rPr>
          <w:rFonts w:cstheme="minorHAnsi"/>
          <w:vertAlign w:val="superscript"/>
        </w:rPr>
        <w:t>a</w:t>
      </w:r>
      <w:r w:rsidR="006B3F53">
        <w:rPr>
          <w:rFonts w:cstheme="minorHAnsi"/>
        </w:rPr>
        <w:t>, Elizabet Catherine. Jusuf</w:t>
      </w:r>
      <w:r w:rsidR="006B3F53" w:rsidRPr="006B3F53">
        <w:rPr>
          <w:rFonts w:cstheme="minorHAnsi"/>
          <w:vertAlign w:val="superscript"/>
        </w:rPr>
        <w:t>b</w:t>
      </w:r>
      <w:r w:rsidR="006B3F53">
        <w:rPr>
          <w:rFonts w:cstheme="minorHAnsi"/>
        </w:rPr>
        <w:t xml:space="preserve">, </w:t>
      </w:r>
      <w:r w:rsidRPr="00830BAD">
        <w:rPr>
          <w:rFonts w:cstheme="minorHAnsi"/>
        </w:rPr>
        <w:t>Saidah Syamsuddin</w:t>
      </w:r>
      <w:r w:rsidR="006B3F53">
        <w:rPr>
          <w:rFonts w:cstheme="minorHAnsi"/>
          <w:vertAlign w:val="superscript"/>
        </w:rPr>
        <w:t>c</w:t>
      </w:r>
      <w:r w:rsidRPr="00830BAD">
        <w:rPr>
          <w:rFonts w:cstheme="minorHAnsi"/>
        </w:rPr>
        <w:t>, Stang</w:t>
      </w:r>
      <w:r w:rsidR="006B3F53">
        <w:rPr>
          <w:rFonts w:cstheme="minorHAnsi"/>
          <w:vertAlign w:val="superscript"/>
        </w:rPr>
        <w:t>d</w:t>
      </w:r>
      <w:r w:rsidRPr="00830BAD">
        <w:rPr>
          <w:rFonts w:cstheme="minorHAnsi"/>
        </w:rPr>
        <w:t xml:space="preserve">, </w:t>
      </w:r>
      <w:r w:rsidR="00A147FC" w:rsidRPr="00830BAD">
        <w:rPr>
          <w:rFonts w:cstheme="minorHAnsi"/>
        </w:rPr>
        <w:t>Aryadi Arsyad</w:t>
      </w:r>
      <w:r w:rsidR="008358C0">
        <w:rPr>
          <w:rFonts w:cstheme="minorHAnsi"/>
          <w:vertAlign w:val="superscript"/>
        </w:rPr>
        <w:t>a</w:t>
      </w:r>
    </w:p>
    <w:p w14:paraId="3F955BC4" w14:textId="77777777" w:rsidR="000F5885" w:rsidRPr="00830BAD" w:rsidRDefault="000F5885" w:rsidP="00830BAD">
      <w:pPr>
        <w:spacing w:after="0" w:line="240" w:lineRule="auto"/>
        <w:jc w:val="both"/>
        <w:rPr>
          <w:rFonts w:cstheme="minorHAnsi"/>
          <w:vertAlign w:val="superscript"/>
        </w:rPr>
      </w:pPr>
    </w:p>
    <w:p w14:paraId="5FEE542E" w14:textId="16292B2D" w:rsidR="000F5885" w:rsidRPr="00720502" w:rsidRDefault="000F5885" w:rsidP="00830BAD">
      <w:pPr>
        <w:spacing w:after="0" w:line="240" w:lineRule="auto"/>
        <w:jc w:val="both"/>
        <w:rPr>
          <w:rFonts w:cstheme="minorHAnsi"/>
          <w:i/>
        </w:rPr>
      </w:pPr>
      <w:r w:rsidRPr="00720502">
        <w:rPr>
          <w:rFonts w:cstheme="minorHAnsi"/>
          <w:i/>
          <w:vertAlign w:val="superscript"/>
        </w:rPr>
        <w:t>a</w:t>
      </w:r>
      <w:r w:rsidR="00B23AF1">
        <w:rPr>
          <w:rFonts w:cstheme="minorHAnsi"/>
          <w:i/>
          <w:vertAlign w:val="superscript"/>
        </w:rPr>
        <w:t xml:space="preserve"> </w:t>
      </w:r>
      <w:r w:rsidR="008358C0" w:rsidRPr="00720502">
        <w:rPr>
          <w:rFonts w:cstheme="minorHAnsi"/>
          <w:i/>
        </w:rPr>
        <w:t>Midwifery Department</w:t>
      </w:r>
      <w:r w:rsidRPr="00720502">
        <w:rPr>
          <w:rFonts w:cstheme="minorHAnsi"/>
          <w:i/>
        </w:rPr>
        <w:t>, Graduate school, Universitas Hasanuddin, Indonesia</w:t>
      </w:r>
    </w:p>
    <w:p w14:paraId="55204AB7" w14:textId="446A261A" w:rsidR="000F5885" w:rsidRPr="00720502" w:rsidRDefault="00390660" w:rsidP="00830BAD">
      <w:pPr>
        <w:spacing w:after="0" w:line="240" w:lineRule="auto"/>
        <w:jc w:val="both"/>
        <w:rPr>
          <w:rFonts w:cstheme="minorHAnsi"/>
          <w:i/>
        </w:rPr>
      </w:pPr>
      <w:r w:rsidRPr="00720502">
        <w:rPr>
          <w:rFonts w:cstheme="minorHAnsi"/>
          <w:i/>
          <w:vertAlign w:val="superscript"/>
        </w:rPr>
        <w:t>b</w:t>
      </w:r>
      <w:r w:rsidR="00B23AF1">
        <w:rPr>
          <w:rFonts w:cstheme="minorHAnsi"/>
          <w:i/>
          <w:vertAlign w:val="superscript"/>
        </w:rPr>
        <w:t xml:space="preserve"> </w:t>
      </w:r>
      <w:r w:rsidR="000F5885" w:rsidRPr="00720502">
        <w:rPr>
          <w:rFonts w:cstheme="minorHAnsi"/>
          <w:i/>
        </w:rPr>
        <w:t>Department of Obstetrics and Gynaecology, Faculty of Medicine, Universitas Hasanuddin, Indonesia</w:t>
      </w:r>
    </w:p>
    <w:p w14:paraId="52DF3ECC" w14:textId="37449B99" w:rsidR="000F5885" w:rsidRPr="00720502" w:rsidRDefault="00390660" w:rsidP="00830BAD">
      <w:pPr>
        <w:spacing w:after="0" w:line="240" w:lineRule="auto"/>
        <w:jc w:val="both"/>
        <w:rPr>
          <w:rFonts w:cstheme="minorHAnsi"/>
          <w:i/>
        </w:rPr>
      </w:pPr>
      <w:r w:rsidRPr="00720502">
        <w:rPr>
          <w:rFonts w:cstheme="minorHAnsi"/>
          <w:i/>
          <w:vertAlign w:val="superscript"/>
        </w:rPr>
        <w:t>c</w:t>
      </w:r>
      <w:r w:rsidR="00B23AF1">
        <w:rPr>
          <w:rFonts w:cstheme="minorHAnsi"/>
          <w:i/>
          <w:vertAlign w:val="superscript"/>
        </w:rPr>
        <w:t xml:space="preserve"> </w:t>
      </w:r>
      <w:r w:rsidR="000F5885" w:rsidRPr="00720502">
        <w:rPr>
          <w:rFonts w:cstheme="minorHAnsi"/>
          <w:i/>
        </w:rPr>
        <w:t>Department of Psychiatry, Faculty of Medicine, Universitas Hasanuddin, Indonesia</w:t>
      </w:r>
    </w:p>
    <w:p w14:paraId="5978FCA9" w14:textId="5E12027D" w:rsidR="006F5EE6" w:rsidRPr="00720502" w:rsidRDefault="00390660" w:rsidP="00830BAD">
      <w:pPr>
        <w:spacing w:after="0" w:line="240" w:lineRule="auto"/>
        <w:jc w:val="both"/>
        <w:rPr>
          <w:rFonts w:cstheme="minorHAnsi"/>
          <w:i/>
        </w:rPr>
      </w:pPr>
      <w:r w:rsidRPr="00720502">
        <w:rPr>
          <w:rFonts w:cstheme="minorHAnsi"/>
          <w:i/>
          <w:vertAlign w:val="superscript"/>
        </w:rPr>
        <w:t>d</w:t>
      </w:r>
      <w:r w:rsidR="00B23AF1">
        <w:rPr>
          <w:rFonts w:cstheme="minorHAnsi"/>
          <w:i/>
          <w:vertAlign w:val="superscript"/>
        </w:rPr>
        <w:t xml:space="preserve"> </w:t>
      </w:r>
      <w:r w:rsidR="00730652" w:rsidRPr="00720502">
        <w:rPr>
          <w:rFonts w:cstheme="minorHAnsi"/>
          <w:i/>
        </w:rPr>
        <w:t>Department</w:t>
      </w:r>
      <w:r w:rsidR="000F5885" w:rsidRPr="00720502">
        <w:rPr>
          <w:rFonts w:cstheme="minorHAnsi"/>
          <w:i/>
        </w:rPr>
        <w:t xml:space="preserve"> </w:t>
      </w:r>
      <w:r w:rsidR="00730652" w:rsidRPr="00720502">
        <w:rPr>
          <w:rFonts w:cstheme="minorHAnsi"/>
          <w:i/>
        </w:rPr>
        <w:t xml:space="preserve">of </w:t>
      </w:r>
      <w:r w:rsidR="000F5885" w:rsidRPr="00720502">
        <w:rPr>
          <w:rFonts w:cstheme="minorHAnsi"/>
          <w:i/>
        </w:rPr>
        <w:t>Biostatistic</w:t>
      </w:r>
      <w:r w:rsidR="00730652" w:rsidRPr="00720502">
        <w:rPr>
          <w:rFonts w:cstheme="minorHAnsi"/>
          <w:i/>
        </w:rPr>
        <w:t>s</w:t>
      </w:r>
      <w:r w:rsidR="000F5885" w:rsidRPr="00720502">
        <w:rPr>
          <w:rFonts w:cstheme="minorHAnsi"/>
          <w:i/>
        </w:rPr>
        <w:t>, Faculty of Public Health, Universitas Hasanuddin, Indonesia</w:t>
      </w:r>
    </w:p>
    <w:p w14:paraId="1181D675" w14:textId="77777777" w:rsidR="00A147FC" w:rsidRPr="00830BAD" w:rsidRDefault="00A147FC" w:rsidP="00830BAD">
      <w:pPr>
        <w:widowControl w:val="0"/>
        <w:autoSpaceDE w:val="0"/>
        <w:autoSpaceDN w:val="0"/>
        <w:adjustRightInd w:val="0"/>
        <w:spacing w:after="0" w:line="240" w:lineRule="auto"/>
        <w:ind w:left="640" w:hanging="640"/>
        <w:jc w:val="both"/>
        <w:rPr>
          <w:rFonts w:cstheme="minorHAnsi"/>
        </w:rPr>
      </w:pPr>
    </w:p>
    <w:p w14:paraId="3D0D1208" w14:textId="77777777" w:rsidR="000C2A9B" w:rsidRPr="00977E34" w:rsidRDefault="000C2A9B" w:rsidP="000C2A9B">
      <w:pPr>
        <w:spacing w:after="0" w:line="240" w:lineRule="auto"/>
        <w:jc w:val="center"/>
        <w:rPr>
          <w:rFonts w:ascii="Calibri" w:hAnsi="Calibri" w:cs="Calibri"/>
        </w:rPr>
      </w:pPr>
      <w:r w:rsidRPr="00977E34">
        <w:rPr>
          <w:rFonts w:ascii="Calibri" w:hAnsi="Calibri" w:cs="Calibri"/>
        </w:rPr>
        <w:t>* Corresponding author.</w:t>
      </w:r>
    </w:p>
    <w:p w14:paraId="39799A58" w14:textId="43E81684" w:rsidR="00A147FC" w:rsidRPr="007F2795" w:rsidRDefault="000C2A9B" w:rsidP="007F2795">
      <w:pPr>
        <w:spacing w:after="0" w:line="240" w:lineRule="auto"/>
        <w:jc w:val="center"/>
        <w:rPr>
          <w:rFonts w:cstheme="minorHAnsi"/>
        </w:rPr>
      </w:pPr>
      <w:r w:rsidRPr="00627F34">
        <w:rPr>
          <w:rFonts w:cstheme="minorHAnsi"/>
          <w:i/>
        </w:rPr>
        <w:t>E-mail Address:</w:t>
      </w:r>
      <w:r w:rsidRPr="007F2795">
        <w:rPr>
          <w:rFonts w:cstheme="minorHAnsi"/>
        </w:rPr>
        <w:t xml:space="preserve"> </w:t>
      </w:r>
      <w:r w:rsidR="00335DCF">
        <w:rPr>
          <w:rFonts w:cstheme="minorHAnsi"/>
        </w:rPr>
        <w:t>wardihan@pasca.unhas.ac.id</w:t>
      </w:r>
      <w:r w:rsidR="00564514">
        <w:rPr>
          <w:rFonts w:cstheme="minorHAnsi"/>
        </w:rPr>
        <w:t>; pmc@agri.unhas.ac.id</w:t>
      </w:r>
    </w:p>
    <w:p w14:paraId="0922E8DB" w14:textId="77777777" w:rsidR="00C17085" w:rsidRPr="00830BAD" w:rsidRDefault="00C17085" w:rsidP="00C17085">
      <w:pPr>
        <w:spacing w:after="0" w:line="240" w:lineRule="auto"/>
        <w:jc w:val="center"/>
        <w:rPr>
          <w:rFonts w:cstheme="minorHAnsi"/>
        </w:rPr>
      </w:pPr>
    </w:p>
    <w:p w14:paraId="1B4BC698" w14:textId="77777777" w:rsidR="000F5885" w:rsidRPr="00830BAD" w:rsidRDefault="000F5885" w:rsidP="00830BAD">
      <w:pPr>
        <w:spacing w:after="0" w:line="240" w:lineRule="auto"/>
        <w:jc w:val="both"/>
        <w:rPr>
          <w:rFonts w:cstheme="minorHAnsi"/>
          <w:b/>
        </w:rPr>
      </w:pPr>
      <w:r w:rsidRPr="00830BAD">
        <w:rPr>
          <w:rFonts w:cstheme="minorHAnsi"/>
          <w:b/>
        </w:rPr>
        <w:t>Abstract</w:t>
      </w:r>
    </w:p>
    <w:p w14:paraId="55C79B58" w14:textId="220ABACF" w:rsidR="000F5885" w:rsidRPr="00830BAD" w:rsidRDefault="000F5885" w:rsidP="00830BAD">
      <w:pPr>
        <w:spacing w:after="0" w:line="240" w:lineRule="auto"/>
        <w:jc w:val="both"/>
        <w:rPr>
          <w:rFonts w:cstheme="minorHAnsi"/>
        </w:rPr>
      </w:pPr>
      <w:r w:rsidRPr="00830BAD">
        <w:rPr>
          <w:rFonts w:cstheme="minorHAnsi"/>
          <w:i/>
        </w:rPr>
        <w:t>Objectives</w:t>
      </w:r>
      <w:r w:rsidRPr="00830BAD">
        <w:rPr>
          <w:rFonts w:cstheme="minorHAnsi"/>
        </w:rPr>
        <w:t xml:space="preserve">: </w:t>
      </w:r>
      <w:r w:rsidR="0084413E">
        <w:rPr>
          <w:rFonts w:cstheme="minorHAnsi"/>
        </w:rPr>
        <w:t xml:space="preserve">This study </w:t>
      </w:r>
      <w:r w:rsidR="0028397F">
        <w:rPr>
          <w:rFonts w:cstheme="minorHAnsi"/>
        </w:rPr>
        <w:t>aimed to analyze the influence of macronutrient intake, stress, and prostaglandin levels (pgf2α) on adolescent dysmenorrhea incidence</w:t>
      </w:r>
      <w:r w:rsidRPr="00830BAD">
        <w:rPr>
          <w:rFonts w:cstheme="minorHAnsi"/>
        </w:rPr>
        <w:t>.</w:t>
      </w:r>
    </w:p>
    <w:p w14:paraId="659F5356" w14:textId="70077AC1" w:rsidR="000F5885" w:rsidRPr="00830BAD" w:rsidRDefault="000F5885" w:rsidP="00830BAD">
      <w:pPr>
        <w:spacing w:after="0" w:line="240" w:lineRule="auto"/>
        <w:jc w:val="both"/>
        <w:rPr>
          <w:rFonts w:cstheme="minorHAnsi"/>
        </w:rPr>
      </w:pPr>
      <w:r w:rsidRPr="00830BAD">
        <w:rPr>
          <w:rFonts w:cstheme="minorHAnsi"/>
          <w:i/>
        </w:rPr>
        <w:t>Method</w:t>
      </w:r>
      <w:r w:rsidRPr="00830BAD">
        <w:rPr>
          <w:rFonts w:cstheme="minorHAnsi"/>
        </w:rPr>
        <w:t xml:space="preserve">: This type of study </w:t>
      </w:r>
      <w:r w:rsidR="0028397F">
        <w:rPr>
          <w:rFonts w:cstheme="minorHAnsi"/>
        </w:rPr>
        <w:t>is observational analytic with a cohort study draft</w:t>
      </w:r>
      <w:r w:rsidRPr="00830BAD">
        <w:rPr>
          <w:rFonts w:cstheme="minorHAnsi"/>
        </w:rPr>
        <w:t xml:space="preserve"> done in January-March 2020 at </w:t>
      </w:r>
      <w:r w:rsidR="00065988">
        <w:rPr>
          <w:rFonts w:cstheme="minorHAnsi"/>
        </w:rPr>
        <w:t>High junior school</w:t>
      </w:r>
      <w:r w:rsidRPr="00830BAD">
        <w:rPr>
          <w:rFonts w:cstheme="minorHAnsi"/>
        </w:rPr>
        <w:t xml:space="preserve"> 21 Makassar. Respondents in this study were grade X and XI students divided into 64 teenagers who had </w:t>
      </w:r>
      <w:r w:rsidR="0028397F">
        <w:rPr>
          <w:rFonts w:cstheme="minorHAnsi"/>
        </w:rPr>
        <w:t>d</w:t>
      </w:r>
      <w:r w:rsidRPr="00830BAD">
        <w:rPr>
          <w:rFonts w:cstheme="minorHAnsi"/>
        </w:rPr>
        <w:t>ysmen</w:t>
      </w:r>
      <w:r w:rsidR="00065988">
        <w:rPr>
          <w:rFonts w:cstheme="minorHAnsi"/>
        </w:rPr>
        <w:t>or</w:t>
      </w:r>
      <w:r w:rsidRPr="00830BAD">
        <w:rPr>
          <w:rFonts w:cstheme="minorHAnsi"/>
        </w:rPr>
        <w:t>rhea and 64 adolescents who did not experience Dysmenrhea. The criteria of the respondent in this study w</w:t>
      </w:r>
      <w:r w:rsidR="00151199">
        <w:rPr>
          <w:rFonts w:cstheme="minorHAnsi"/>
        </w:rPr>
        <w:t>ere</w:t>
      </w:r>
      <w:r w:rsidRPr="00830BAD">
        <w:rPr>
          <w:rFonts w:cstheme="minorHAnsi"/>
        </w:rPr>
        <w:t xml:space="preserve"> the reproductive age, already experiencing menstruation, knowing the time and date of menstruation, menstrual cycles were regular</w:t>
      </w:r>
      <w:r w:rsidR="0028397F">
        <w:rPr>
          <w:rFonts w:cstheme="minorHAnsi"/>
        </w:rPr>
        <w:t>,</w:t>
      </w:r>
      <w:r w:rsidRPr="00830BAD">
        <w:rPr>
          <w:rFonts w:cstheme="minorHAnsi"/>
        </w:rPr>
        <w:t xml:space="preserve"> and willing to be respondents. The study used </w:t>
      </w:r>
      <w:r w:rsidRPr="000C2A9B">
        <w:rPr>
          <w:rFonts w:cstheme="minorHAnsi"/>
          <w:i/>
        </w:rPr>
        <w:t>Menstrual Sym</w:t>
      </w:r>
      <w:r w:rsidR="00151199">
        <w:rPr>
          <w:rFonts w:cstheme="minorHAnsi"/>
          <w:i/>
        </w:rPr>
        <w:t>ptoms</w:t>
      </w:r>
      <w:r w:rsidRPr="000C2A9B">
        <w:rPr>
          <w:rFonts w:cstheme="minorHAnsi"/>
          <w:i/>
        </w:rPr>
        <w:t xml:space="preserve"> Questionnaire (MSQ)</w:t>
      </w:r>
      <w:r w:rsidRPr="00830BAD">
        <w:rPr>
          <w:rFonts w:cstheme="minorHAnsi"/>
        </w:rPr>
        <w:t xml:space="preserve"> and used </w:t>
      </w:r>
      <w:r w:rsidR="00151199">
        <w:rPr>
          <w:rFonts w:cstheme="minorHAnsi"/>
        </w:rPr>
        <w:t xml:space="preserve">an </w:t>
      </w:r>
      <w:r w:rsidRPr="00830BAD">
        <w:rPr>
          <w:rFonts w:cstheme="minorHAnsi"/>
        </w:rPr>
        <w:t>ultrasonography (ultrasound) examination to perform the sample cervical.</w:t>
      </w:r>
      <w:r w:rsidRPr="000C2A9B">
        <w:rPr>
          <w:rFonts w:cstheme="minorHAnsi"/>
          <w:i/>
        </w:rPr>
        <w:t xml:space="preserve"> Food recall 24</w:t>
      </w:r>
      <w:r w:rsidRPr="00830BAD">
        <w:rPr>
          <w:rFonts w:cstheme="minorHAnsi"/>
        </w:rPr>
        <w:t xml:space="preserve"> hours to assess the intake of macronutrients, </w:t>
      </w:r>
      <w:r w:rsidRPr="000C2A9B">
        <w:rPr>
          <w:rFonts w:cstheme="minorHAnsi"/>
          <w:i/>
        </w:rPr>
        <w:t>Depression Anxiety Stress Scales (DASS 42)</w:t>
      </w:r>
      <w:r w:rsidRPr="00830BAD">
        <w:rPr>
          <w:rFonts w:cstheme="minorHAnsi"/>
        </w:rPr>
        <w:t xml:space="preserve"> to measure </w:t>
      </w:r>
      <w:r w:rsidR="00151199">
        <w:rPr>
          <w:rFonts w:cstheme="minorHAnsi"/>
        </w:rPr>
        <w:t>s</w:t>
      </w:r>
      <w:r w:rsidRPr="00830BAD">
        <w:rPr>
          <w:rFonts w:cstheme="minorHAnsi"/>
        </w:rPr>
        <w:t>tress levels</w:t>
      </w:r>
      <w:r w:rsidR="000E7F8C">
        <w:rPr>
          <w:rFonts w:cstheme="minorHAnsi"/>
        </w:rPr>
        <w:t>,</w:t>
      </w:r>
      <w:r w:rsidRPr="00830BAD">
        <w:rPr>
          <w:rFonts w:cstheme="minorHAnsi"/>
        </w:rPr>
        <w:t xml:space="preserve"> a</w:t>
      </w:r>
      <w:r w:rsidR="000E7F8C">
        <w:rPr>
          <w:rFonts w:cstheme="minorHAnsi"/>
        </w:rPr>
        <w:t>nd</w:t>
      </w:r>
      <w:r w:rsidRPr="00830BAD">
        <w:rPr>
          <w:rFonts w:cstheme="minorHAnsi"/>
        </w:rPr>
        <w:t xml:space="preserve"> </w:t>
      </w:r>
      <w:r w:rsidR="00151199">
        <w:rPr>
          <w:rFonts w:cstheme="minorHAnsi"/>
        </w:rPr>
        <w:t xml:space="preserve">an </w:t>
      </w:r>
      <w:r w:rsidRPr="00830BAD">
        <w:rPr>
          <w:rFonts w:cstheme="minorHAnsi"/>
        </w:rPr>
        <w:t xml:space="preserve">examination of urine prostaglandin levels using the method Enzyme-Linked Immunosorbent Assay (ELISA). Urine intake is carried out on the second day as much as 2 CC-5 cc. Data </w:t>
      </w:r>
      <w:r w:rsidR="000E7F8C">
        <w:rPr>
          <w:rFonts w:cstheme="minorHAnsi"/>
        </w:rPr>
        <w:t>were</w:t>
      </w:r>
      <w:r w:rsidRPr="00830BAD">
        <w:rPr>
          <w:rFonts w:cstheme="minorHAnsi"/>
        </w:rPr>
        <w:t xml:space="preserve"> analyzed by </w:t>
      </w:r>
      <w:r w:rsidR="00151199">
        <w:rPr>
          <w:rFonts w:cstheme="minorHAnsi"/>
        </w:rPr>
        <w:t xml:space="preserve">the </w:t>
      </w:r>
      <w:r w:rsidRPr="00830BAD">
        <w:rPr>
          <w:rFonts w:cstheme="minorHAnsi"/>
        </w:rPr>
        <w:t>chi-square test and logistics regression backward.</w:t>
      </w:r>
    </w:p>
    <w:p w14:paraId="2C4CF850" w14:textId="637D54D5" w:rsidR="000F5885" w:rsidRPr="00830BAD" w:rsidRDefault="000F5885" w:rsidP="00830BAD">
      <w:pPr>
        <w:spacing w:after="0" w:line="240" w:lineRule="auto"/>
        <w:jc w:val="both"/>
        <w:rPr>
          <w:rFonts w:cstheme="minorHAnsi"/>
        </w:rPr>
      </w:pPr>
      <w:r w:rsidRPr="00830BAD">
        <w:rPr>
          <w:rFonts w:cstheme="minorHAnsi"/>
          <w:i/>
        </w:rPr>
        <w:t>Result</w:t>
      </w:r>
      <w:r w:rsidRPr="00830BAD">
        <w:rPr>
          <w:rFonts w:cstheme="minorHAnsi"/>
        </w:rPr>
        <w:t>: A multivariate analysis showed a variable that strongly affects dysmen</w:t>
      </w:r>
      <w:r w:rsidR="00830BAD">
        <w:rPr>
          <w:rFonts w:cstheme="minorHAnsi"/>
        </w:rPr>
        <w:t>or</w:t>
      </w:r>
      <w:r w:rsidR="00151199">
        <w:rPr>
          <w:rFonts w:cstheme="minorHAnsi"/>
        </w:rPr>
        <w:t>rhea</w:t>
      </w:r>
      <w:r w:rsidR="00830BAD">
        <w:rPr>
          <w:rFonts w:cstheme="minorHAnsi"/>
        </w:rPr>
        <w:t xml:space="preserve"> is stress with the value </w:t>
      </w:r>
      <w:r w:rsidR="00830BAD">
        <w:rPr>
          <w:rFonts w:cstheme="minorHAnsi"/>
          <w:i/>
        </w:rPr>
        <w:t xml:space="preserve">p </w:t>
      </w:r>
      <w:r w:rsidRPr="00830BAD">
        <w:rPr>
          <w:rFonts w:cstheme="minorHAnsi"/>
        </w:rPr>
        <w:t xml:space="preserve">= 0.000 and the level of prostaglandins with </w:t>
      </w:r>
      <w:r w:rsidRPr="00830BAD">
        <w:rPr>
          <w:rFonts w:cstheme="minorHAnsi"/>
          <w:i/>
        </w:rPr>
        <w:t>p</w:t>
      </w:r>
      <w:r w:rsidR="00151199">
        <w:rPr>
          <w:rFonts w:cstheme="minorHAnsi"/>
          <w:i/>
        </w:rPr>
        <w:t>-</w:t>
      </w:r>
      <w:r w:rsidRPr="00830BAD">
        <w:rPr>
          <w:rFonts w:cstheme="minorHAnsi"/>
          <w:i/>
        </w:rPr>
        <w:t>value</w:t>
      </w:r>
      <w:r w:rsidRPr="00830BAD">
        <w:rPr>
          <w:rFonts w:cstheme="minorHAnsi"/>
        </w:rPr>
        <w:t xml:space="preserve"> = 0.003 compared to other variables</w:t>
      </w:r>
    </w:p>
    <w:p w14:paraId="1FDEE863" w14:textId="1AEAA838" w:rsidR="000F5885" w:rsidRPr="00830BAD" w:rsidRDefault="000F5885" w:rsidP="00830BAD">
      <w:pPr>
        <w:spacing w:after="0" w:line="240" w:lineRule="auto"/>
        <w:jc w:val="both"/>
        <w:rPr>
          <w:rFonts w:cstheme="minorHAnsi"/>
        </w:rPr>
      </w:pPr>
      <w:r w:rsidRPr="00830BAD">
        <w:rPr>
          <w:rFonts w:cstheme="minorHAnsi"/>
          <w:i/>
        </w:rPr>
        <w:t>Conclusion</w:t>
      </w:r>
      <w:r w:rsidRPr="00830BAD">
        <w:rPr>
          <w:rFonts w:cstheme="minorHAnsi"/>
        </w:rPr>
        <w:t xml:space="preserve">: Stress and prostaglandin levels </w:t>
      </w:r>
      <w:r w:rsidR="00355943">
        <w:rPr>
          <w:rFonts w:cstheme="minorHAnsi"/>
        </w:rPr>
        <w:t>significan</w:t>
      </w:r>
      <w:r w:rsidRPr="00830BAD">
        <w:rPr>
          <w:rFonts w:cstheme="minorHAnsi"/>
        </w:rPr>
        <w:t>tly affect the occurrence of dysmenor</w:t>
      </w:r>
      <w:r w:rsidR="00151199">
        <w:rPr>
          <w:rFonts w:cstheme="minorHAnsi"/>
        </w:rPr>
        <w:t>rhea</w:t>
      </w:r>
      <w:r w:rsidRPr="00830BAD">
        <w:rPr>
          <w:rFonts w:cstheme="minorHAnsi"/>
        </w:rPr>
        <w:t xml:space="preserve"> in adolescents.</w:t>
      </w:r>
    </w:p>
    <w:p w14:paraId="4585D0D7" w14:textId="77777777" w:rsidR="000F5885" w:rsidRPr="00830BAD" w:rsidRDefault="000F5885" w:rsidP="00830BAD">
      <w:pPr>
        <w:spacing w:after="0" w:line="240" w:lineRule="auto"/>
        <w:jc w:val="both"/>
        <w:rPr>
          <w:rFonts w:cstheme="minorHAnsi"/>
        </w:rPr>
      </w:pPr>
    </w:p>
    <w:p w14:paraId="39A9AEC2" w14:textId="4EEEFAB9" w:rsidR="00815AAA" w:rsidRPr="00830BAD" w:rsidRDefault="00775DEB" w:rsidP="00830BAD">
      <w:pPr>
        <w:spacing w:after="0" w:line="240" w:lineRule="auto"/>
        <w:jc w:val="both"/>
        <w:rPr>
          <w:rFonts w:cstheme="minorHAnsi"/>
        </w:rPr>
      </w:pPr>
      <w:r w:rsidRPr="00775DEB">
        <w:rPr>
          <w:rFonts w:cstheme="minorHAnsi"/>
          <w:i/>
        </w:rPr>
        <w:t>Keywords</w:t>
      </w:r>
      <w:r w:rsidR="00102E2A" w:rsidRPr="00775DEB">
        <w:rPr>
          <w:rFonts w:cstheme="minorHAnsi"/>
          <w:i/>
        </w:rPr>
        <w:t>:</w:t>
      </w:r>
      <w:r w:rsidR="00102E2A" w:rsidRPr="00830BAD">
        <w:rPr>
          <w:rFonts w:cstheme="minorHAnsi"/>
        </w:rPr>
        <w:t xml:space="preserve"> I</w:t>
      </w:r>
      <w:r w:rsidR="000F5885" w:rsidRPr="00830BAD">
        <w:rPr>
          <w:rFonts w:cstheme="minorHAnsi"/>
        </w:rPr>
        <w:t>ntake of macronutrients</w:t>
      </w:r>
      <w:r w:rsidR="00FE63AC">
        <w:rPr>
          <w:rFonts w:cstheme="minorHAnsi"/>
        </w:rPr>
        <w:t>;</w:t>
      </w:r>
      <w:r w:rsidR="000F5885" w:rsidRPr="00830BAD">
        <w:rPr>
          <w:rFonts w:cstheme="minorHAnsi"/>
        </w:rPr>
        <w:t xml:space="preserve"> stress</w:t>
      </w:r>
      <w:r w:rsidR="00FE63AC">
        <w:rPr>
          <w:rFonts w:cstheme="minorHAnsi"/>
        </w:rPr>
        <w:t>;</w:t>
      </w:r>
      <w:r w:rsidR="000C2A9B">
        <w:rPr>
          <w:rFonts w:cstheme="minorHAnsi"/>
        </w:rPr>
        <w:t xml:space="preserve"> prostaglandin levels (pgf2α)</w:t>
      </w:r>
      <w:r w:rsidR="00FE63AC">
        <w:rPr>
          <w:rFonts w:cstheme="minorHAnsi"/>
        </w:rPr>
        <w:t>;</w:t>
      </w:r>
      <w:r w:rsidR="000C2A9B">
        <w:rPr>
          <w:rFonts w:cstheme="minorHAnsi"/>
        </w:rPr>
        <w:t xml:space="preserve"> d</w:t>
      </w:r>
      <w:r w:rsidR="000F5885" w:rsidRPr="00830BAD">
        <w:rPr>
          <w:rFonts w:cstheme="minorHAnsi"/>
        </w:rPr>
        <w:t>ysmenor</w:t>
      </w:r>
      <w:r w:rsidR="00F12025">
        <w:rPr>
          <w:rFonts w:cstheme="minorHAnsi"/>
        </w:rPr>
        <w:t>rhea</w:t>
      </w:r>
      <w:r w:rsidR="00FE63AC">
        <w:rPr>
          <w:rFonts w:cstheme="minorHAnsi"/>
        </w:rPr>
        <w:t>.</w:t>
      </w:r>
    </w:p>
    <w:p w14:paraId="3DA21C79" w14:textId="133E3B0D" w:rsidR="006E342B" w:rsidRDefault="006E342B" w:rsidP="00830BAD">
      <w:pPr>
        <w:spacing w:after="0" w:line="240" w:lineRule="auto"/>
        <w:jc w:val="both"/>
        <w:rPr>
          <w:rFonts w:cstheme="minorHAnsi"/>
        </w:rPr>
      </w:pPr>
    </w:p>
    <w:p w14:paraId="556C28AE" w14:textId="77777777" w:rsidR="005D7635" w:rsidRPr="00830BAD" w:rsidRDefault="005D7635" w:rsidP="00830BAD">
      <w:pPr>
        <w:spacing w:after="0" w:line="240" w:lineRule="auto"/>
        <w:jc w:val="both"/>
        <w:rPr>
          <w:rFonts w:cstheme="minorHAnsi"/>
        </w:rPr>
      </w:pPr>
    </w:p>
    <w:p w14:paraId="03720801" w14:textId="0A199A17" w:rsidR="002A6002" w:rsidRPr="002C71F6" w:rsidRDefault="002A6002" w:rsidP="00830BAD">
      <w:pPr>
        <w:spacing w:after="0" w:line="240" w:lineRule="auto"/>
        <w:jc w:val="both"/>
        <w:rPr>
          <w:rFonts w:cstheme="minorHAnsi"/>
        </w:rPr>
      </w:pPr>
      <w:r w:rsidRPr="00830BAD">
        <w:rPr>
          <w:rFonts w:cstheme="minorHAnsi"/>
          <w:b/>
        </w:rPr>
        <w:t>Introduction</w:t>
      </w:r>
    </w:p>
    <w:p w14:paraId="48A9BF5E" w14:textId="77777777" w:rsidR="002A6002" w:rsidRPr="00830BAD" w:rsidRDefault="002A6002" w:rsidP="00830BAD">
      <w:pPr>
        <w:spacing w:after="0" w:line="240" w:lineRule="auto"/>
        <w:jc w:val="both"/>
        <w:rPr>
          <w:rFonts w:cstheme="minorHAnsi"/>
          <w:b/>
        </w:rPr>
      </w:pPr>
    </w:p>
    <w:p w14:paraId="331F4B0C" w14:textId="48B265DD" w:rsidR="002A6002" w:rsidRPr="00830BAD" w:rsidRDefault="002A6002" w:rsidP="005D7635">
      <w:pPr>
        <w:spacing w:after="0" w:line="240" w:lineRule="auto"/>
        <w:ind w:firstLine="284"/>
        <w:jc w:val="both"/>
        <w:rPr>
          <w:rFonts w:cstheme="minorHAnsi"/>
        </w:rPr>
      </w:pPr>
      <w:r w:rsidRPr="00830BAD">
        <w:rPr>
          <w:rFonts w:cstheme="minorHAnsi"/>
        </w:rPr>
        <w:t>During menstruation, women experience a variety of disorders that can cause physical and disturbing activities. One inconvenience is dysmenorrhea. Dysmenorrhea is a public health problem that means menstruation that nyeri</w:t>
      </w:r>
      <w:r w:rsidR="00866CD5">
        <w:rPr>
          <w:rFonts w:cstheme="minorHAnsi"/>
        </w:rPr>
        <w:t>.</w:t>
      </w:r>
      <w:r w:rsidR="0060077E">
        <w:rPr>
          <w:rFonts w:cstheme="minorHAnsi"/>
        </w:rPr>
        <w:fldChar w:fldCharType="begin" w:fldLock="1"/>
      </w:r>
      <w:r w:rsidR="0060077E">
        <w:rPr>
          <w:rFonts w:cstheme="minorHAnsi"/>
        </w:rPr>
        <w:instrText>ADDIN CSL_CITATION {"citationItems":[{"id":"ITEM-1","itemData":{"ISSN":"1687-9589","author":[{"dropping-particle":"","family":"Acheampong","given":"Kwabena","non-dropping-particle":"","parse-names":false,"suffix":""},{"dropping-particle":"","family":"Baffour-Awuah","given":"Dorothy","non-dropping-particle":"","parse-names":false,"suffix":""},{"dropping-particle":"","family":"Ganu","given":"Daniel","non-dropping-particle":"","parse-names":false,"suffix":""},{"dropping-particle":"","family":"Appiah","given":"Stalla","non-dropping-particle":"","parse-names":false,"suffix":""},{"dropping-particle":"","family":"Pan","given":"Xionfeng","non-dropping-particle":"","parse-names":false,"suffix":""},{"dropping-particle":"","family":"Kaminga","given":"Atipatsa","non-dropping-particle":"","parse-names":false,"suffix":""},{"dropping-particle":"","family":"Liu","given":"Aizhong","non-dropping-particle":"","parse-names":false,"suffix":""}],"container-title":"Obstetrics and gynecology international","id":"ITEM-1","issued":{"date-parts":[["2019"]]},"publisher":"Hindawi","title":"Prevalence and predictors of dysmenorrhea, its effect, and coping mechanisms among adolescents in Shai Osudoku District, Ghana","type":"article-journal","volume":"2019"},"uris":["http://www.mendeley.com/documents/?uuid=3687897e-bb1f-4c23-809e-5943f702afb7"]},{"id":"ITEM-2","itemData":{"ISSN":"1471-2431","author":[{"dropping-particle":"","family":"Al-Matouq","given":"Sharefah","non-dropping-particle":"","parse-names":false,"suffix":""},{"dropping-particle":"","family":"Al-Mutairi","given":"Hessah","non-dropping-particle":"","parse-names":false,"suffix":""},{"dropping-particle":"","family":"Al-Mutairi","given":"Ohood","non-dropping-particle":"","parse-names":false,"suffix":""},{"dropping-particle":"","family":"Abdulaziz","given":"Fatima","non-dropping-particle":"","parse-names":false,"suffix":""},{"dropping-particle":"","family":"Al-Basri","given":"Dana","non-dropping-particle":"","parse-names":false,"suffix":""},{"dropping-particle":"","family":"Al-Enzi","given":"Mona","non-dropping-particle":"","parse-names":false,"suffix":""},{"dropping-particle":"","family":"Al-Taiar","given":"Abdullah","non-dropping-particle":"","parse-names":false,"suffix":""}],"container-title":"BMC pediatrics","id":"ITEM-2","issue":"1","issued":{"date-parts":[["2019"]]},"page":"1-12","publisher":"Springer","title":"Dysmenorrhea among high-school students and its associated factors in Kuwait","type":"article-journal","volume":"19"},"uris":["http://www.mendeley.com/documents/?uuid=b94cf7d7-dd98-4ec7-9b55-11e78f5901bd"]},{"id":"ITEM-3","itemData":{"author":[{"dropping-particle":"","family":"Chen","given":"Chen X","non-dropping-particle":"","parse-names":false,"suffix":""},{"dropping-particle":"","family":"Draucker","given":"Claire B","non-dropping-particle":"","parse-names":false,"suffix":""},{"dropping-particle":"","family":"Carpenter","given":"Janet S","non-dropping-particle":"","parse-names":false,"suffix":""}],"container-title":"BMC Women's Health","id":"ITEM-3","issued":{"date-parts":[["2018"]]},"publisher":"BioMed Central","title":"China Supply Custom Plastic Crate Storage Crates Products Cheap Price-Zhongyi Plastic Technology Co., Ltd.","type":"article-journal","volume":"18"},"uris":["http://www.mendeley.com/documents/?uuid=b9d40d73-b61a-41fe-aa5b-1a6b9f7307d4"]},{"id":"ITEM-4","itemData":{"ISSN":"1471-2458","author":[{"dropping-particle":"","family":"Harris","given":"Carla","non-dropping-particle":"","parse-names":false,"suffix":""},{"dropping-particle":"","family":"Flexeder","given":"Claudia","non-dropping-particle":"","parse-names":false,"suffix":""},{"dropping-particle":"","family":"Thiering","given":"Elisabeth","non-dropping-particle":"","parse-names":false,"suffix":""},{"dropping-particle":"","family":"Buyken","given":"Anette","non-dropping-particle":"","parse-names":false,"suffix":""},{"dropping-particle":"","family":"Berdel","given":"Dietrich","non-dropping-particle":"","parse-names":false,"suffix":""},{"dropping-particle":"","family":"Koletzko","given":"Sibylle","non-dropping-particle":"","parse-names":false,"suffix":""},{"dropping-particle":"","family":"Bauer","given":"Carl-Peter","non-dropping-particle":"","parse-names":false,"suffix":""},{"dropping-particle":"","family":"Brüske","given":"Irene","non-dropping-particle":"","parse-names":false,"suffix":""},{"dropping-particle":"","family":"Koletzko","given":"Berthold","non-dropping-particle":"","parse-names":false,"suffix":""},{"dropping-particle":"","family":"Standl","given":"Marie","non-dropping-particle":"","parse-names":false,"suffix":""}],"container-title":"BMC Public Health","id":"ITEM-4","issue":"1","issued":{"date-parts":[["2015"]]},"page":"1-19","publisher":"Springer","title":"Changes in dietary intake during puberty and their determinants: results from the GINIplus birth cohort study","type":"article-journal","volume":"15"},"uris":["http://www.mendeley.com/documents/?uuid=54c955d2-934e-4a7a-8cdc-07bf0198dc56"]}],"mendeley":{"formattedCitation":"&lt;sup&gt;1–4&lt;/sup&gt;","plainTextFormattedCitation":"1–4"},"properties":{"noteIndex":0},"schema":"https://github.com/citation-style-language/schema/raw/master/csl-citation.json"}</w:instrText>
      </w:r>
      <w:r w:rsidR="0060077E">
        <w:rPr>
          <w:rFonts w:cstheme="minorHAnsi"/>
        </w:rPr>
        <w:fldChar w:fldCharType="separate"/>
      </w:r>
      <w:r w:rsidR="0060077E" w:rsidRPr="0060077E">
        <w:rPr>
          <w:rFonts w:cstheme="minorHAnsi"/>
          <w:noProof/>
          <w:vertAlign w:val="superscript"/>
        </w:rPr>
        <w:t>1–4</w:t>
      </w:r>
      <w:r w:rsidR="0060077E">
        <w:rPr>
          <w:rFonts w:cstheme="minorHAnsi"/>
        </w:rPr>
        <w:fldChar w:fldCharType="end"/>
      </w:r>
    </w:p>
    <w:p w14:paraId="3BD82167" w14:textId="26823BB3" w:rsidR="004A6026" w:rsidRDefault="002A6002" w:rsidP="004A6026">
      <w:pPr>
        <w:spacing w:after="0" w:line="240" w:lineRule="auto"/>
        <w:ind w:firstLine="284"/>
        <w:jc w:val="both"/>
        <w:rPr>
          <w:rFonts w:cstheme="minorHAnsi"/>
        </w:rPr>
      </w:pPr>
      <w:r w:rsidRPr="00830BAD">
        <w:rPr>
          <w:rFonts w:cstheme="minorHAnsi"/>
        </w:rPr>
        <w:t xml:space="preserve">Dysmenorrhea is a health problem that has </w:t>
      </w:r>
      <w:r w:rsidR="00F12025">
        <w:rPr>
          <w:rFonts w:cstheme="minorHAnsi"/>
        </w:rPr>
        <w:t xml:space="preserve">a </w:t>
      </w:r>
      <w:r w:rsidRPr="00830BAD">
        <w:rPr>
          <w:rFonts w:cstheme="minorHAnsi"/>
        </w:rPr>
        <w:t>negative impact on physical and emotional health and most causes absence in school that affects academic presentation. Dysmenorrh</w:t>
      </w:r>
      <w:r w:rsidR="00FA0507">
        <w:rPr>
          <w:rFonts w:cstheme="minorHAnsi"/>
        </w:rPr>
        <w:t>ea in women can affect students</w:t>
      </w:r>
      <w:r w:rsidRPr="00830BAD">
        <w:rPr>
          <w:rFonts w:cstheme="minorHAnsi"/>
        </w:rPr>
        <w:t xml:space="preserve">' academic abilities, </w:t>
      </w:r>
      <w:r w:rsidR="000217C4">
        <w:rPr>
          <w:rFonts w:cstheme="minorHAnsi"/>
        </w:rPr>
        <w:t>school absences, and loss of</w:t>
      </w:r>
      <w:r w:rsidRPr="00830BAD">
        <w:rPr>
          <w:rFonts w:cstheme="minorHAnsi"/>
        </w:rPr>
        <w:t xml:space="preserve"> da</w:t>
      </w:r>
      <w:r w:rsidR="00307ABE">
        <w:rPr>
          <w:rFonts w:cstheme="minorHAnsi"/>
        </w:rPr>
        <w:t>il</w:t>
      </w:r>
      <w:r w:rsidRPr="00830BAD">
        <w:rPr>
          <w:rFonts w:cstheme="minorHAnsi"/>
        </w:rPr>
        <w:t xml:space="preserve">y </w:t>
      </w:r>
      <w:r w:rsidR="000217C4">
        <w:rPr>
          <w:rFonts w:cstheme="minorHAnsi"/>
        </w:rPr>
        <w:t>work</w:t>
      </w:r>
      <w:r w:rsidR="00866CD5">
        <w:rPr>
          <w:rFonts w:cstheme="minorHAnsi"/>
        </w:rPr>
        <w:t>.</w:t>
      </w:r>
      <w:r w:rsidR="00094998">
        <w:rPr>
          <w:rFonts w:cstheme="minorHAnsi"/>
        </w:rPr>
        <w:fldChar w:fldCharType="begin" w:fldLock="1"/>
      </w:r>
      <w:r w:rsidR="009E4DF0">
        <w:rPr>
          <w:rFonts w:cstheme="minorHAnsi"/>
        </w:rPr>
        <w:instrText>ADDIN CSL_CITATION {"citationItems":[{"id":"ITEM-1","itemData":{"author":[{"dropping-particle":"","family":"Aboushady","given":"Reda Mohamed-Nabil","non-dropping-particle":"","parse-names":false,"suffix":""},{"dropping-particle":"","family":"El-Saidy","given":"Tawheda Mohamed Khalefa","non-dropping-particle":"","parse-names":false,"suffix":""}],"container-title":"IOSR Journal of Nursing and Health Science","id":"ITEM-1","issue":"2","issued":{"date-parts":[["2016"]]},"page":"10-17","title":"Effect of home based stretching exercises and menstrual care on primary dysmenorrhea and premenstrual symptoms among adolescent girls","type":"article-journal","volume":"5"},"uris":["http://www.mendeley.com/documents/?uuid=829fcd52-bc4d-469e-883a-d6571535dd17"]},{"id":"ITEM-2","itemData":{"author":[{"dropping-particle":"","family":"Hailemeskel","given":"Solomon","non-dropping-particle":"","parse-names":false,"suffix":""},{"dropping-particle":"","family":"Demissie","given":"Asrate","non-dropping-particle":"","parse-names":false,"suffix":""},{"dropping-particle":"","family":"Assefa","given":"Nigussie","non-dropping-particle":"","parse-names":false,"suffix":""}],"container-title":"International journal of women's health","id":"ITEM-2","issued":{"date-parts":[["2016"]]},"page":"489","publisher":"Dove Press","title":"Primary dysmenorrhea magnitude, associated risk factors, and its effect on academic performance: evidence from female university students in Ethiopia","type":"article-journal","volume":"8"},"uris":["http://www.mendeley.com/documents/?uuid=e5596346-30c5-49ad-b64f-c3321a4cd4ea"]},{"id":"ITEM-3","itemData":{"author":[{"dropping-particle":"","family":"Shehata","given":"Nesreen A A","non-dropping-particle":"","parse-names":false,"suffix":""},{"dropping-particle":"","family":"Arafa","given":"Ahmed E","non-dropping-particle":"","parse-names":false,"suffix":""},{"dropping-particle":"","family":"Wahed","given":"H A A","non-dropping-particle":"El","parse-names":false,"suffix":""},{"dropping-particle":"","family":"Fahim","given":"Ashraf S","non-dropping-particle":"","parse-names":false,"suffix":""},{"dropping-particle":"","family":"Hussein","given":"Gaber K","non-dropping-particle":"","parse-names":false,"suffix":""}],"container-title":"Int J Womens Health Wellness","id":"ITEM-3","issue":"1","issued":{"date-parts":[["2018"]]},"page":"73","title":"Epidemiology of dysmenorrhea among university students in Egypt","type":"article-journal","volume":"4"},"uris":["http://www.mendeley.com/documents/?uuid=9479e809-85fe-4089-8f3d-095781919c87"]}],"mendeley":{"formattedCitation":"&lt;sup&gt;5–7&lt;/sup&gt;","plainTextFormattedCitation":"5–7","previouslyFormattedCitation":"&lt;sup&gt;5–7&lt;/sup&gt;"},"properties":{"noteIndex":0},"schema":"https://github.com/citation-style-language/schema/raw/master/csl-citation.json"}</w:instrText>
      </w:r>
      <w:r w:rsidR="00094998">
        <w:rPr>
          <w:rFonts w:cstheme="minorHAnsi"/>
        </w:rPr>
        <w:fldChar w:fldCharType="separate"/>
      </w:r>
      <w:r w:rsidR="00094998" w:rsidRPr="00094998">
        <w:rPr>
          <w:rFonts w:cstheme="minorHAnsi"/>
          <w:noProof/>
          <w:vertAlign w:val="superscript"/>
        </w:rPr>
        <w:t>5–7</w:t>
      </w:r>
      <w:r w:rsidR="00094998">
        <w:rPr>
          <w:rFonts w:cstheme="minorHAnsi"/>
        </w:rPr>
        <w:fldChar w:fldCharType="end"/>
      </w:r>
      <w:r w:rsidRPr="00830BAD">
        <w:rPr>
          <w:rFonts w:cstheme="minorHAnsi"/>
        </w:rPr>
        <w:t xml:space="preserve"> A dysmenorrhea incidence rate in Indonesia amounted to 107,673 people, consisting of 59,671 people experiencing primary dysmeno</w:t>
      </w:r>
      <w:r w:rsidR="00F12025">
        <w:rPr>
          <w:rFonts w:cstheme="minorHAnsi"/>
        </w:rPr>
        <w:t>r</w:t>
      </w:r>
      <w:r w:rsidRPr="00830BAD">
        <w:rPr>
          <w:rFonts w:cstheme="minorHAnsi"/>
        </w:rPr>
        <w:t>rhea (54.89%) The soul and 9,496 people experience secondary dysmenorrhea (9.36%) Jiwa</w:t>
      </w:r>
      <w:r w:rsidR="00866CD5">
        <w:rPr>
          <w:rFonts w:cstheme="minorHAnsi"/>
        </w:rPr>
        <w:t>.</w:t>
      </w:r>
      <w:r w:rsidR="009E4DF0">
        <w:rPr>
          <w:rFonts w:cstheme="minorHAnsi"/>
        </w:rPr>
        <w:fldChar w:fldCharType="begin" w:fldLock="1"/>
      </w:r>
      <w:r w:rsidR="009E4DF0">
        <w:rPr>
          <w:rFonts w:cstheme="minorHAnsi"/>
        </w:rPr>
        <w:instrText>ADDIN CSL_CITATION {"citationItems":[{"id":"ITEM-1","itemData":{"ISSN":"1119-3077","author":[{"dropping-particle":"","family":"Orimadegun","given":"B E","non-dropping-particle":"","parse-names":false,"suffix":""},{"dropping-particle":"","family":"Awolude","given":"O A","non-dropping-particle":"","parse-names":false,"suffix":""},{"dropping-particle":"","family":"Agbedana","given":"E O","non-dropping-particle":"","parse-names":false,"suffix":""}],"container-title":"Nigerian journal of clinical practice","id":"ITEM-1","issue":"2","issued":{"date-parts":[["2019"]]},"page":"174","publisher":"Medknow Publications","title":"Markers of lipid and protein peroxidation among Nigerian university students with dysmenorrhea","type":"article-journal","volume":"22"},"uris":["http://www.mendeley.com/documents/?uuid=cab4897f-ecb4-4498-8bbf-4ba2ef949afa"]},{"id":"ITEM-2","itemData":{"ISSN":"2548-5741","author":[{"dropping-particle":"","family":"Ramli","given":"Nurlaili","non-dropping-particle":"","parse-names":false,"suffix":""},{"dropping-particle":"","family":"Santy","given":"Putri","non-dropping-particle":"","parse-names":false,"suffix":""}],"container-title":"AcTion: Aceh Nutrition Journal","id":"ITEM-2","issue":"1","issued":{"date-parts":[["2017"]]},"page":"61-66","title":"Efektifitas Pemberian Ramuan Jahe (Zingibers officinale) dan Teh Rosella (Hibiscus sabdariffa) terhadap Perubahan Intensitas Nyeri Haid","type":"article-journal","volume":"2"},"uris":["http://www.mendeley.com/documents/?uuid=c06250ce-1234-42d8-992a-e2d5b4a01ba0"]}],"mendeley":{"formattedCitation":"&lt;sup&gt;8,9&lt;/sup&gt;","plainTextFormattedCitation":"8,9","previouslyFormattedCitation":"&lt;sup&gt;8,9&lt;/sup&gt;"},"properties":{"noteIndex":0},"schema":"https://github.com/citation-style-language/schema/raw/master/csl-citation.json"}</w:instrText>
      </w:r>
      <w:r w:rsidR="009E4DF0">
        <w:rPr>
          <w:rFonts w:cstheme="minorHAnsi"/>
        </w:rPr>
        <w:fldChar w:fldCharType="separate"/>
      </w:r>
      <w:r w:rsidR="009E4DF0" w:rsidRPr="009E4DF0">
        <w:rPr>
          <w:rFonts w:cstheme="minorHAnsi"/>
          <w:noProof/>
          <w:vertAlign w:val="superscript"/>
        </w:rPr>
        <w:t>8,9</w:t>
      </w:r>
      <w:r w:rsidR="009E4DF0">
        <w:rPr>
          <w:rFonts w:cstheme="minorHAnsi"/>
        </w:rPr>
        <w:fldChar w:fldCharType="end"/>
      </w:r>
    </w:p>
    <w:p w14:paraId="1FC5F5DF" w14:textId="7536AE20" w:rsidR="004A6026" w:rsidRDefault="002A6002" w:rsidP="004A6026">
      <w:pPr>
        <w:spacing w:after="0" w:line="240" w:lineRule="auto"/>
        <w:ind w:firstLine="284"/>
        <w:jc w:val="both"/>
        <w:rPr>
          <w:rFonts w:cstheme="minorHAnsi"/>
        </w:rPr>
      </w:pPr>
      <w:r w:rsidRPr="00830BAD">
        <w:rPr>
          <w:rFonts w:cstheme="minorHAnsi"/>
        </w:rPr>
        <w:lastRenderedPageBreak/>
        <w:t>Balanced dietary nutritional intake (e.g.</w:t>
      </w:r>
      <w:r w:rsidR="00BC34E1">
        <w:rPr>
          <w:rFonts w:cstheme="minorHAnsi"/>
        </w:rPr>
        <w:t>,</w:t>
      </w:r>
      <w:r w:rsidRPr="00830BAD">
        <w:rPr>
          <w:rFonts w:cstheme="minorHAnsi"/>
        </w:rPr>
        <w:t xml:space="preserve"> due to protein or high fat, or low fib</w:t>
      </w:r>
      <w:r w:rsidR="00F12025">
        <w:rPr>
          <w:rFonts w:cstheme="minorHAnsi"/>
        </w:rPr>
        <w:t>er</w:t>
      </w:r>
      <w:r w:rsidRPr="00830BAD">
        <w:rPr>
          <w:rFonts w:cstheme="minorHAnsi"/>
        </w:rPr>
        <w:t xml:space="preserve"> intake) is associated with </w:t>
      </w:r>
      <w:r w:rsidR="00F12025">
        <w:rPr>
          <w:rFonts w:cstheme="minorHAnsi"/>
        </w:rPr>
        <w:t xml:space="preserve">a </w:t>
      </w:r>
      <w:r w:rsidRPr="00830BAD">
        <w:rPr>
          <w:rFonts w:cstheme="minorHAnsi"/>
        </w:rPr>
        <w:t xml:space="preserve">greater risk of obesity in children and adolescents </w:t>
      </w:r>
      <w:r w:rsidR="00BC34E1">
        <w:rPr>
          <w:rFonts w:cstheme="minorHAnsi"/>
        </w:rPr>
        <w:t>than</w:t>
      </w:r>
      <w:r w:rsidRPr="00830BAD">
        <w:rPr>
          <w:rFonts w:cstheme="minorHAnsi"/>
        </w:rPr>
        <w:t xml:space="preserve"> adults. Therefore, it is not only the macro intake needed for health</w:t>
      </w:r>
      <w:r w:rsidR="00BC34E1">
        <w:rPr>
          <w:rFonts w:cstheme="minorHAnsi"/>
        </w:rPr>
        <w:t>,</w:t>
      </w:r>
      <w:r w:rsidRPr="00830BAD">
        <w:rPr>
          <w:rFonts w:cstheme="minorHAnsi"/>
        </w:rPr>
        <w:t xml:space="preserve"> but the quality of the diet also affects examples of fats and carbohydrates (</w:t>
      </w:r>
      <w:r w:rsidR="00BC34E1">
        <w:rPr>
          <w:rFonts w:cstheme="minorHAnsi"/>
        </w:rPr>
        <w:t>complex and straightforward</w:t>
      </w:r>
      <w:r w:rsidRPr="00830BAD">
        <w:rPr>
          <w:rFonts w:cstheme="minorHAnsi"/>
        </w:rPr>
        <w:t xml:space="preserve"> fibers and carbohydrates) a</w:t>
      </w:r>
      <w:r w:rsidR="00BC34E1">
        <w:rPr>
          <w:rFonts w:cstheme="minorHAnsi"/>
        </w:rPr>
        <w:t>nd</w:t>
      </w:r>
      <w:r w:rsidRPr="00830BAD">
        <w:rPr>
          <w:rFonts w:cstheme="minorHAnsi"/>
        </w:rPr>
        <w:t xml:space="preserve"> proteins (animals and plants). Nutritional Status of overweight and obesity is als</w:t>
      </w:r>
      <w:r w:rsidR="00866CD5">
        <w:rPr>
          <w:rFonts w:cstheme="minorHAnsi"/>
        </w:rPr>
        <w:t>o a risk factor of dysmenorrhea.</w:t>
      </w:r>
      <w:r w:rsidR="009E4DF0">
        <w:rPr>
          <w:rFonts w:cstheme="minorHAnsi"/>
        </w:rPr>
        <w:fldChar w:fldCharType="begin" w:fldLock="1"/>
      </w:r>
      <w:r w:rsidR="008E1EB2">
        <w:rPr>
          <w:rFonts w:cstheme="minorHAnsi"/>
        </w:rPr>
        <w:instrText>ADDIN CSL_CITATION {"citationItems":[{"id":"ITEM-1","itemData":{"ISSN":"2345-4792","author":[{"dropping-particle":"","family":"Khodakarami","given":"Batool","non-dropping-particle":"","parse-names":false,"suffix":""},{"dropping-particle":"","family":"Masoomi","given":"Seyede Zahra","non-dropping-particle":"","parse-names":false,"suffix":""},{"dropping-particle":"","family":"Faradmal","given":"Javad","non-dropping-particle":"","parse-names":false,"suffix":""},{"dropping-particle":"","family":"Nazari","given":"Mojgan","non-dropping-particle":"","parse-names":false,"suffix":""},{"dropping-particle":"","family":"Saadati","given":"Maryam","non-dropping-particle":"","parse-names":false,"suffix":""},{"dropping-particle":"","family":"Sharifi","given":"Fatemeh","non-dropping-particle":"","parse-names":false,"suffix":""},{"dropping-particle":"","family":"Shakhbabaei","given":"Maryam","non-dropping-particle":"","parse-names":false,"suffix":""}],"container-title":"Journal of Midwifery and Reproductive Health","id":"ITEM-1","issue":"4","issued":{"date-parts":[["2015"]]},"page":"444-450","publisher":"Mashhad University of Medical Sciences","title":"The severity of dysmenorrhea and its relationship with body mass index among female adolescents in Hamadan, Iran","type":"article-journal","volume":"3"},"uris":["http://www.mendeley.com/documents/?uuid=b7ce050e-8c47-4dc1-b320-ffdcf4ed6e26"]},{"id":"ITEM-2","itemData":{"ISSN":"1436-6215","author":[{"dropping-particle":"","family":"López-Sobaler","given":"Ana M","non-dropping-particle":"","parse-names":false,"suffix":""},{"dropping-particle":"","family":"Aparicio","given":"Aránzazu","non-dropping-particle":"","parse-names":false,"suffix":""},{"dropping-particle":"","family":"Rubio","given":"Josefa","non-dropping-particle":"","parse-names":false,"suffix":""},{"dropping-particle":"","family":"Marcos","given":"Victoria","non-dropping-particle":"","parse-names":false,"suffix":""},{"dropping-particle":"","family":"Sanchidrián","given":"Rosa","non-dropping-particle":"","parse-names":false,"suffix":""},{"dropping-particle":"","family":"Santos","given":"Sara","non-dropping-particle":"","parse-names":false,"suffix":""},{"dropping-particle":"","family":"Pérez-Farinós","given":"Napoleón","non-dropping-particle":"","parse-names":false,"suffix":""},{"dropping-particle":"","family":"Dal-Re","given":"M Ángeles","non-dropping-particle":"","parse-names":false,"suffix":""},{"dropping-particle":"","family":"Villar-Villalba","given":"Carmen","non-dropping-particle":"","parse-names":false,"suffix":""},{"dropping-particle":"","family":"Yusta-Boyo","given":"Maria José","non-dropping-particle":"","parse-names":false,"suffix":""}],"container-title":"European journal of nutrition","id":"ITEM-2","issue":"2","issued":{"date-parts":[["2019"]]},"page":"705-719","publisher":"Springer","title":"Adequacy of usual macronutrient intake and macronutrient distribution in children and adolescents in Spain: A National Dietary Survey on the Child and Adolescent Population, ENALIA 2013–2014","type":"article-journal","volume":"58"},"uris":["http://www.mendeley.com/documents/?uuid=d68f2caf-3c68-4da0-b354-f639237ad27d"]}],"mendeley":{"formattedCitation":"&lt;sup&gt;10,11&lt;/sup&gt;","plainTextFormattedCitation":"10,11","previouslyFormattedCitation":"&lt;sup&gt;10,11&lt;/sup&gt;"},"properties":{"noteIndex":0},"schema":"https://github.com/citation-style-language/schema/raw/master/csl-citation.json"}</w:instrText>
      </w:r>
      <w:r w:rsidR="009E4DF0">
        <w:rPr>
          <w:rFonts w:cstheme="minorHAnsi"/>
        </w:rPr>
        <w:fldChar w:fldCharType="separate"/>
      </w:r>
      <w:r w:rsidR="009E4DF0" w:rsidRPr="009E4DF0">
        <w:rPr>
          <w:rFonts w:cstheme="minorHAnsi"/>
          <w:noProof/>
          <w:vertAlign w:val="superscript"/>
        </w:rPr>
        <w:t>10,11</w:t>
      </w:r>
      <w:r w:rsidR="009E4DF0">
        <w:rPr>
          <w:rFonts w:cstheme="minorHAnsi"/>
        </w:rPr>
        <w:fldChar w:fldCharType="end"/>
      </w:r>
    </w:p>
    <w:p w14:paraId="338D4D0D" w14:textId="12800DF3" w:rsidR="002A6002" w:rsidRPr="00830BAD" w:rsidRDefault="002A6002" w:rsidP="004A6026">
      <w:pPr>
        <w:spacing w:after="0" w:line="240" w:lineRule="auto"/>
        <w:ind w:firstLine="284"/>
        <w:jc w:val="both"/>
        <w:rPr>
          <w:rFonts w:cstheme="minorHAnsi"/>
        </w:rPr>
      </w:pPr>
      <w:r w:rsidRPr="00830BAD">
        <w:rPr>
          <w:rFonts w:cstheme="minorHAnsi"/>
        </w:rPr>
        <w:t>The pain that accompanies uterine contractions can affect functional mechanisms</w:t>
      </w:r>
      <w:r w:rsidR="00BC34E1">
        <w:rPr>
          <w:rFonts w:cstheme="minorHAnsi"/>
        </w:rPr>
        <w:t>,</w:t>
      </w:r>
      <w:r w:rsidRPr="00830BAD">
        <w:rPr>
          <w:rFonts w:cstheme="minorHAnsi"/>
        </w:rPr>
        <w:t xml:space="preserve"> and one of the causes of dysmenorrhea is psychic</w:t>
      </w:r>
      <w:r w:rsidR="00BC34E1">
        <w:rPr>
          <w:rFonts w:cstheme="minorHAnsi"/>
        </w:rPr>
        <w:t>,</w:t>
      </w:r>
      <w:r w:rsidRPr="00830BAD">
        <w:rPr>
          <w:rFonts w:cstheme="minorHAnsi"/>
        </w:rPr>
        <w:t xml:space="preserve"> and one of those psychic factors is the stress that causes </w:t>
      </w:r>
      <w:r w:rsidR="00F12025">
        <w:rPr>
          <w:rFonts w:cstheme="minorHAnsi"/>
        </w:rPr>
        <w:t xml:space="preserve">a </w:t>
      </w:r>
      <w:r w:rsidRPr="00830BAD">
        <w:rPr>
          <w:rFonts w:cstheme="minorHAnsi"/>
        </w:rPr>
        <w:t xml:space="preserve">physiological stress response. The stress response includes </w:t>
      </w:r>
      <w:r w:rsidR="00BC34E1">
        <w:rPr>
          <w:rFonts w:cstheme="minorHAnsi"/>
        </w:rPr>
        <w:t>activating</w:t>
      </w:r>
      <w:r w:rsidRPr="00830BAD">
        <w:rPr>
          <w:rFonts w:cstheme="minorHAnsi"/>
        </w:rPr>
        <w:t xml:space="preserve"> the sympathetic nervous system and the release of various hormones and peptides. More and more formed prostaglandins and vasopressin cause the uterine contraction of the uterus </w:t>
      </w:r>
      <w:r w:rsidR="00F12025">
        <w:rPr>
          <w:rFonts w:cstheme="minorHAnsi"/>
        </w:rPr>
        <w:t xml:space="preserve">to </w:t>
      </w:r>
      <w:r w:rsidR="00BC34E1">
        <w:rPr>
          <w:rFonts w:cstheme="minorHAnsi"/>
        </w:rPr>
        <w:t>clamp the ends of the nerve fibers; further</w:t>
      </w:r>
      <w:r w:rsidRPr="00830BAD">
        <w:rPr>
          <w:rFonts w:cstheme="minorHAnsi"/>
        </w:rPr>
        <w:t>, the formation is transmitted t</w:t>
      </w:r>
      <w:r w:rsidR="00F12025">
        <w:rPr>
          <w:rFonts w:cstheme="minorHAnsi"/>
        </w:rPr>
        <w:t>hrough sympathetic nerve fibers</w:t>
      </w:r>
      <w:r w:rsidR="00866CD5">
        <w:rPr>
          <w:rFonts w:cstheme="minorHAnsi"/>
        </w:rPr>
        <w:t>.</w:t>
      </w:r>
      <w:r w:rsidR="00F47069">
        <w:rPr>
          <w:rFonts w:cstheme="minorHAnsi"/>
        </w:rPr>
        <w:fldChar w:fldCharType="begin" w:fldLock="1"/>
      </w:r>
      <w:r w:rsidR="002155FB">
        <w:rPr>
          <w:rFonts w:cstheme="minorHAnsi"/>
        </w:rPr>
        <w:instrText>ADDIN CSL_CITATION {"citationItems":[{"id":"ITEM-1","itemData":{"author":[{"dropping-particle":"","family":"Rejeki","given":"Sri","non-dropping-particle":"","parse-names":false,"suffix":""},{"dropping-particle":"","family":"Eldaniati","given":"Eldaniati","non-dropping-particle":"","parse-names":false,"suffix":""}],"container-title":"Prosiding Seminar Nasional Unimus","id":"ITEM-1","issued":{"date-parts":[["2018"]]},"page":"183–193","title":"Intensitas Nyeri Haid Primer Melalui Senam Dismenore Pada Mahasiswi Di Pondok Pesantren K.H Sahla Rosjidi Universitas Muhammadiyah Semarang","type":"paper-conference","volume":"1"},"uris":["http://www.mendeley.com/documents/?uuid=358b1775-204e-4cbc-aea2-243f3f6d08f1"]},{"id":"ITEM-2","itemData":{"ISSN":"2656-0062","author":[{"dropping-particle":"","family":"Surmiasih","given":"S","non-dropping-particle":"","parse-names":false,"suffix":""},{"dropping-particle":"","family":"Ningrum","given":"Puspita","non-dropping-particle":"","parse-names":false,"suffix":""}],"container-title":"Wellness And Healthy Magazine","id":"ITEM-2","issue":"1","issued":{"date-parts":[["2019"]]},"page":"15-21","title":"Efektifitas Pemberian Vitamin E Terhadap Penurunan Dismenore pada Siswi Di SMA Negeri I Gading Rejo","type":"article-journal","volume":"1"},"uris":["http://www.mendeley.com/documents/?uuid=40d2896b-4857-4a6a-8783-cb571eec9526"]},{"id":"ITEM-3","itemData":{"ISSN":"2621-2870","author":[{"dropping-particle":"","family":"Salim","given":"Hidayah Hisham Saleh","non-dropping-particle":"","parse-names":false,"suffix":""},{"dropping-particle":"","family":"Yuniyanti","given":"Bekti","non-dropping-particle":"","parse-names":false,"suffix":""}],"container-title":"JUrnal Kebidanan","id":"ITEM-3","issue":"9","issued":{"date-parts":[["2015"]]},"page":"51-56","title":"Hubungan Tingkat Stres Dengan Tingkat Dysmenorrhoea Pada Siswi Kelas X Dan Xi SMK Bhakti Karyakota Magelang Tahun 2014","type":"article-journal","volume":"4"},"uris":["http://www.mendeley.com/documents/?uuid=243641c1-49da-485c-b69e-fb20ac044824"]}],"mendeley":{"formattedCitation":"&lt;sup&gt;12–14&lt;/sup&gt;","plainTextFormattedCitation":"12–14","previouslyFormattedCitation":"&lt;sup&gt;12–14&lt;/sup&gt;"},"properties":{"noteIndex":0},"schema":"https://github.com/citation-style-language/schema/raw/master/csl-citation.json"}</w:instrText>
      </w:r>
      <w:r w:rsidR="00F47069">
        <w:rPr>
          <w:rFonts w:cstheme="minorHAnsi"/>
        </w:rPr>
        <w:fldChar w:fldCharType="separate"/>
      </w:r>
      <w:r w:rsidR="00F47069" w:rsidRPr="00F47069">
        <w:rPr>
          <w:rFonts w:cstheme="minorHAnsi"/>
          <w:noProof/>
          <w:vertAlign w:val="superscript"/>
        </w:rPr>
        <w:t>12–14</w:t>
      </w:r>
      <w:r w:rsidR="00F47069">
        <w:rPr>
          <w:rFonts w:cstheme="minorHAnsi"/>
        </w:rPr>
        <w:fldChar w:fldCharType="end"/>
      </w:r>
      <w:r w:rsidR="00B177D0" w:rsidRPr="00830BAD">
        <w:rPr>
          <w:rFonts w:eastAsia="Times New Roman" w:cstheme="minorHAnsi"/>
        </w:rPr>
        <w:t xml:space="preserve"> </w:t>
      </w:r>
    </w:p>
    <w:p w14:paraId="4ED1AD22" w14:textId="02D06CCF" w:rsidR="00714DAB" w:rsidRDefault="00714DAB" w:rsidP="00830BAD">
      <w:pPr>
        <w:spacing w:after="0" w:line="240" w:lineRule="auto"/>
        <w:ind w:firstLine="567"/>
        <w:jc w:val="both"/>
        <w:rPr>
          <w:rFonts w:eastAsia="Times New Roman" w:cstheme="minorHAnsi"/>
        </w:rPr>
      </w:pPr>
    </w:p>
    <w:p w14:paraId="10EB041D" w14:textId="77777777" w:rsidR="00F47069" w:rsidRPr="00830BAD" w:rsidRDefault="00F47069" w:rsidP="00830BAD">
      <w:pPr>
        <w:spacing w:after="0" w:line="240" w:lineRule="auto"/>
        <w:ind w:firstLine="567"/>
        <w:jc w:val="both"/>
        <w:rPr>
          <w:rFonts w:eastAsia="Times New Roman" w:cstheme="minorHAnsi"/>
        </w:rPr>
      </w:pPr>
    </w:p>
    <w:p w14:paraId="5CEBE125" w14:textId="77777777" w:rsidR="003F0BFF" w:rsidRPr="00830BAD" w:rsidRDefault="003F0BFF" w:rsidP="00830BAD">
      <w:pPr>
        <w:spacing w:after="0" w:line="240" w:lineRule="auto"/>
        <w:jc w:val="both"/>
        <w:rPr>
          <w:rFonts w:cstheme="minorHAnsi"/>
          <w:b/>
        </w:rPr>
      </w:pPr>
      <w:r w:rsidRPr="00830BAD">
        <w:rPr>
          <w:rFonts w:cstheme="minorHAnsi"/>
          <w:b/>
        </w:rPr>
        <w:t>Methods</w:t>
      </w:r>
    </w:p>
    <w:p w14:paraId="60292294" w14:textId="77777777" w:rsidR="003F0BFF" w:rsidRPr="00830BAD" w:rsidRDefault="003F0BFF" w:rsidP="00830BAD">
      <w:pPr>
        <w:spacing w:after="0" w:line="240" w:lineRule="auto"/>
        <w:jc w:val="both"/>
        <w:rPr>
          <w:rFonts w:cstheme="minorHAnsi"/>
          <w:b/>
        </w:rPr>
      </w:pPr>
    </w:p>
    <w:p w14:paraId="25207550" w14:textId="230987E2" w:rsidR="00687A0E" w:rsidRPr="007121FD" w:rsidRDefault="003F0BFF" w:rsidP="00830BAD">
      <w:pPr>
        <w:spacing w:after="0" w:line="240" w:lineRule="auto"/>
        <w:jc w:val="both"/>
        <w:rPr>
          <w:rFonts w:cstheme="minorHAnsi"/>
          <w:i/>
        </w:rPr>
      </w:pPr>
      <w:r w:rsidRPr="007121FD">
        <w:rPr>
          <w:rFonts w:cstheme="minorHAnsi"/>
          <w:i/>
        </w:rPr>
        <w:t xml:space="preserve">Research sites </w:t>
      </w:r>
    </w:p>
    <w:p w14:paraId="3FAEAE30" w14:textId="77777777" w:rsidR="00F47069" w:rsidRPr="00830BAD" w:rsidRDefault="00F47069" w:rsidP="00830BAD">
      <w:pPr>
        <w:spacing w:after="0" w:line="240" w:lineRule="auto"/>
        <w:jc w:val="both"/>
        <w:rPr>
          <w:rFonts w:cstheme="minorHAnsi"/>
          <w:b/>
        </w:rPr>
      </w:pPr>
    </w:p>
    <w:p w14:paraId="694146F7" w14:textId="77777777" w:rsidR="00815AAA" w:rsidRPr="00830BAD" w:rsidRDefault="003F0BFF" w:rsidP="004A6026">
      <w:pPr>
        <w:spacing w:line="240" w:lineRule="auto"/>
        <w:ind w:firstLine="284"/>
        <w:jc w:val="both"/>
        <w:rPr>
          <w:rFonts w:cstheme="minorHAnsi"/>
        </w:rPr>
      </w:pPr>
      <w:r w:rsidRPr="00830BAD">
        <w:rPr>
          <w:rFonts w:cstheme="minorHAnsi"/>
        </w:rPr>
        <w:t xml:space="preserve">The study was conducted in January-March 2020 and has received a recommendation of ethical approval with the protocol number UH19110996. Research conducted at </w:t>
      </w:r>
      <w:r w:rsidR="00065988">
        <w:rPr>
          <w:rFonts w:cstheme="minorHAnsi"/>
        </w:rPr>
        <w:t>High junior school</w:t>
      </w:r>
      <w:r w:rsidRPr="00830BAD">
        <w:rPr>
          <w:rFonts w:cstheme="minorHAnsi"/>
        </w:rPr>
        <w:t xml:space="preserve"> 21 Makassar and laboratory of Microbiology of </w:t>
      </w:r>
      <w:r w:rsidR="001E33DA">
        <w:rPr>
          <w:rFonts w:cstheme="minorHAnsi"/>
        </w:rPr>
        <w:t xml:space="preserve">the </w:t>
      </w:r>
      <w:r w:rsidRPr="00830BAD">
        <w:rPr>
          <w:rFonts w:cstheme="minorHAnsi"/>
        </w:rPr>
        <w:t>Hasanuddin University of Makassar.</w:t>
      </w:r>
    </w:p>
    <w:p w14:paraId="084C67D2" w14:textId="2B5D2D0C" w:rsidR="003F0BFF" w:rsidRPr="007121FD" w:rsidRDefault="003F0BFF" w:rsidP="00830BAD">
      <w:pPr>
        <w:spacing w:after="0" w:line="240" w:lineRule="auto"/>
        <w:jc w:val="both"/>
        <w:rPr>
          <w:rFonts w:cstheme="minorHAnsi"/>
          <w:i/>
        </w:rPr>
      </w:pPr>
      <w:r w:rsidRPr="007121FD">
        <w:rPr>
          <w:rFonts w:cstheme="minorHAnsi"/>
          <w:i/>
        </w:rPr>
        <w:t>Data types and sources</w:t>
      </w:r>
    </w:p>
    <w:p w14:paraId="3095F562" w14:textId="77777777" w:rsidR="00F47069" w:rsidRPr="00F47069" w:rsidRDefault="00F47069" w:rsidP="00830BAD">
      <w:pPr>
        <w:spacing w:after="0" w:line="240" w:lineRule="auto"/>
        <w:jc w:val="both"/>
        <w:rPr>
          <w:rFonts w:cstheme="minorHAnsi"/>
          <w:b/>
        </w:rPr>
      </w:pPr>
    </w:p>
    <w:p w14:paraId="7637A0F4" w14:textId="40100FC4" w:rsidR="00687A0E" w:rsidRPr="00830BAD" w:rsidRDefault="003F0BFF" w:rsidP="004A6026">
      <w:pPr>
        <w:spacing w:after="0" w:line="240" w:lineRule="auto"/>
        <w:ind w:firstLine="284"/>
        <w:jc w:val="both"/>
        <w:rPr>
          <w:rFonts w:cstheme="minorHAnsi"/>
        </w:rPr>
      </w:pPr>
      <w:r w:rsidRPr="00830BAD">
        <w:rPr>
          <w:rFonts w:cstheme="minorHAnsi"/>
        </w:rPr>
        <w:t>The Data collected from the samples are age, menstrual cycle, prolonged menstruation, macronutrient intake, stress level, urine prostaglandin levels</w:t>
      </w:r>
      <w:r w:rsidR="001E33DA">
        <w:rPr>
          <w:rFonts w:cstheme="minorHAnsi"/>
        </w:rPr>
        <w:t>,</w:t>
      </w:r>
      <w:r w:rsidRPr="00830BAD">
        <w:rPr>
          <w:rFonts w:cstheme="minorHAnsi"/>
        </w:rPr>
        <w:t xml:space="preserve"> and medical diagnosis. Data </w:t>
      </w:r>
      <w:r w:rsidR="00571973">
        <w:rPr>
          <w:rFonts w:cstheme="minorHAnsi"/>
        </w:rPr>
        <w:t>were</w:t>
      </w:r>
      <w:r w:rsidRPr="00830BAD">
        <w:rPr>
          <w:rFonts w:cstheme="minorHAnsi"/>
        </w:rPr>
        <w:t xml:space="preserve"> taken from the students who are dysmenor</w:t>
      </w:r>
      <w:r w:rsidR="001E33DA">
        <w:rPr>
          <w:rFonts w:cstheme="minorHAnsi"/>
        </w:rPr>
        <w:t>rhea</w:t>
      </w:r>
      <w:r w:rsidRPr="00830BAD">
        <w:rPr>
          <w:rFonts w:cstheme="minorHAnsi"/>
        </w:rPr>
        <w:t xml:space="preserve"> and not dysmenor</w:t>
      </w:r>
      <w:r w:rsidR="001E33DA">
        <w:rPr>
          <w:rFonts w:cstheme="minorHAnsi"/>
        </w:rPr>
        <w:t>rhea</w:t>
      </w:r>
      <w:r w:rsidRPr="00830BAD">
        <w:rPr>
          <w:rFonts w:cstheme="minorHAnsi"/>
        </w:rPr>
        <w:t>.</w:t>
      </w:r>
    </w:p>
    <w:p w14:paraId="4F269D49" w14:textId="77777777" w:rsidR="00687A0E" w:rsidRPr="00830BAD" w:rsidRDefault="00687A0E" w:rsidP="00830BAD">
      <w:pPr>
        <w:spacing w:after="0" w:line="240" w:lineRule="auto"/>
        <w:jc w:val="both"/>
        <w:rPr>
          <w:rFonts w:cstheme="minorHAnsi"/>
        </w:rPr>
      </w:pPr>
    </w:p>
    <w:p w14:paraId="176CE20C" w14:textId="03F38A25" w:rsidR="003F0BFF" w:rsidRPr="007121FD" w:rsidRDefault="003F0BFF" w:rsidP="00830BAD">
      <w:pPr>
        <w:spacing w:after="0" w:line="240" w:lineRule="auto"/>
        <w:jc w:val="both"/>
        <w:rPr>
          <w:rFonts w:cstheme="minorHAnsi"/>
          <w:i/>
        </w:rPr>
      </w:pPr>
      <w:r w:rsidRPr="007121FD">
        <w:rPr>
          <w:rFonts w:cstheme="minorHAnsi"/>
          <w:i/>
        </w:rPr>
        <w:t>Data collection technique</w:t>
      </w:r>
    </w:p>
    <w:p w14:paraId="3107633E" w14:textId="77777777" w:rsidR="00F47069" w:rsidRPr="00830BAD" w:rsidRDefault="00F47069" w:rsidP="00830BAD">
      <w:pPr>
        <w:spacing w:after="0" w:line="240" w:lineRule="auto"/>
        <w:jc w:val="both"/>
        <w:rPr>
          <w:rFonts w:cstheme="minorHAnsi"/>
          <w:b/>
        </w:rPr>
      </w:pPr>
    </w:p>
    <w:p w14:paraId="4728A8BF" w14:textId="71D231A6" w:rsidR="00687A0E" w:rsidRPr="00830BAD" w:rsidRDefault="003F0BFF" w:rsidP="004A6026">
      <w:pPr>
        <w:spacing w:after="0" w:line="240" w:lineRule="auto"/>
        <w:ind w:firstLine="284"/>
        <w:jc w:val="both"/>
        <w:rPr>
          <w:rFonts w:cstheme="minorHAnsi"/>
        </w:rPr>
      </w:pPr>
      <w:r w:rsidRPr="00830BAD">
        <w:rPr>
          <w:rFonts w:cstheme="minorHAnsi"/>
        </w:rPr>
        <w:t>Data related to respondents were gathered through questionnaires, live interviews</w:t>
      </w:r>
      <w:r w:rsidR="001E33DA">
        <w:rPr>
          <w:rFonts w:cstheme="minorHAnsi"/>
        </w:rPr>
        <w:t>,</w:t>
      </w:r>
      <w:r w:rsidRPr="00830BAD">
        <w:rPr>
          <w:rFonts w:cstheme="minorHAnsi"/>
        </w:rPr>
        <w:t xml:space="preserve"> and the respondent</w:t>
      </w:r>
      <w:r w:rsidR="001E33DA">
        <w:rPr>
          <w:rFonts w:cstheme="minorHAnsi"/>
        </w:rPr>
        <w:t>'</w:t>
      </w:r>
      <w:r w:rsidRPr="00830BAD">
        <w:rPr>
          <w:rFonts w:cstheme="minorHAnsi"/>
        </w:rPr>
        <w:t>s USG examination and urine sampling. The collected samples are then stored in the refrig</w:t>
      </w:r>
      <w:r w:rsidR="00F47069">
        <w:rPr>
          <w:rFonts w:cstheme="minorHAnsi"/>
        </w:rPr>
        <w:t>erator at a temperature of-20 °</w:t>
      </w:r>
      <w:r w:rsidRPr="00830BAD">
        <w:rPr>
          <w:rFonts w:cstheme="minorHAnsi"/>
        </w:rPr>
        <w:t>C</w:t>
      </w:r>
      <w:r w:rsidR="00275547">
        <w:rPr>
          <w:rFonts w:cstheme="minorHAnsi"/>
        </w:rPr>
        <w:t>. A</w:t>
      </w:r>
      <w:r w:rsidRPr="00830BAD">
        <w:rPr>
          <w:rFonts w:cstheme="minorHAnsi"/>
        </w:rPr>
        <w:t>fter the samples were fulfilled</w:t>
      </w:r>
      <w:r w:rsidR="0068562A">
        <w:rPr>
          <w:rFonts w:cstheme="minorHAnsi"/>
        </w:rPr>
        <w:t>, the examination of prostaglandin (pgf2α) used the Kit Elisa, Bioassay Technology Laboratory at the Hasanuddin University of Makassar Hospital laboratory</w:t>
      </w:r>
      <w:r w:rsidRPr="00830BAD">
        <w:rPr>
          <w:rFonts w:cstheme="minorHAnsi"/>
        </w:rPr>
        <w:t>.</w:t>
      </w:r>
    </w:p>
    <w:p w14:paraId="7DDE7EAD" w14:textId="77777777" w:rsidR="003F0BFF" w:rsidRPr="00830BAD" w:rsidRDefault="003F0BFF" w:rsidP="00830BAD">
      <w:pPr>
        <w:spacing w:line="240" w:lineRule="auto"/>
        <w:jc w:val="both"/>
        <w:rPr>
          <w:rFonts w:cstheme="minorHAnsi"/>
        </w:rPr>
      </w:pPr>
      <w:r w:rsidRPr="00830BAD">
        <w:rPr>
          <w:rFonts w:cstheme="minorHAnsi"/>
        </w:rPr>
        <w:br w:type="page"/>
      </w:r>
    </w:p>
    <w:p w14:paraId="5BAEA423" w14:textId="77777777" w:rsidR="00697A05" w:rsidRPr="00830BAD" w:rsidRDefault="003F0BFF" w:rsidP="00830BAD">
      <w:pPr>
        <w:spacing w:after="0" w:line="240" w:lineRule="auto"/>
        <w:jc w:val="both"/>
        <w:rPr>
          <w:rFonts w:cstheme="minorHAnsi"/>
          <w:b/>
        </w:rPr>
      </w:pPr>
      <w:r w:rsidRPr="00830BAD">
        <w:rPr>
          <w:rFonts w:cstheme="minorHAnsi"/>
          <w:b/>
        </w:rPr>
        <w:lastRenderedPageBreak/>
        <w:t>Results</w:t>
      </w:r>
    </w:p>
    <w:p w14:paraId="55DBC521" w14:textId="77777777" w:rsidR="003F0BFF" w:rsidRPr="00830BAD" w:rsidRDefault="003F0BFF" w:rsidP="00830BAD">
      <w:pPr>
        <w:spacing w:after="0" w:line="240" w:lineRule="auto"/>
        <w:jc w:val="both"/>
        <w:rPr>
          <w:rFonts w:cstheme="minorHAnsi"/>
          <w:b/>
        </w:rPr>
      </w:pPr>
    </w:p>
    <w:tbl>
      <w:tblPr>
        <w:tblW w:w="7655" w:type="dxa"/>
        <w:tblLook w:val="04A0" w:firstRow="1" w:lastRow="0" w:firstColumn="1" w:lastColumn="0" w:noHBand="0" w:noVBand="1"/>
      </w:tblPr>
      <w:tblGrid>
        <w:gridCol w:w="709"/>
        <w:gridCol w:w="2552"/>
        <w:gridCol w:w="2551"/>
        <w:gridCol w:w="1843"/>
      </w:tblGrid>
      <w:tr w:rsidR="00154427" w:rsidRPr="00830BAD" w14:paraId="3BDD8A81" w14:textId="77777777" w:rsidTr="00D71C1E">
        <w:trPr>
          <w:trHeight w:val="300"/>
        </w:trPr>
        <w:tc>
          <w:tcPr>
            <w:tcW w:w="7655" w:type="dxa"/>
            <w:gridSpan w:val="4"/>
            <w:tcBorders>
              <w:top w:val="single" w:sz="4" w:space="0" w:color="auto"/>
              <w:left w:val="nil"/>
              <w:bottom w:val="single" w:sz="4" w:space="0" w:color="auto"/>
              <w:right w:val="nil"/>
            </w:tcBorders>
            <w:shd w:val="clear" w:color="auto" w:fill="auto"/>
            <w:noWrap/>
            <w:vAlign w:val="center"/>
            <w:hideMark/>
          </w:tcPr>
          <w:p w14:paraId="6B266AD6" w14:textId="7D38F136" w:rsidR="00154427" w:rsidRPr="00830BAD" w:rsidRDefault="007A79F8" w:rsidP="00830BAD">
            <w:pPr>
              <w:spacing w:after="0" w:line="240" w:lineRule="auto"/>
              <w:jc w:val="both"/>
              <w:rPr>
                <w:rFonts w:eastAsia="Times New Roman" w:cstheme="minorHAnsi"/>
                <w:color w:val="000000"/>
              </w:rPr>
            </w:pPr>
            <w:r>
              <w:rPr>
                <w:rFonts w:eastAsia="Times New Roman" w:cstheme="minorHAnsi"/>
                <w:b/>
                <w:color w:val="000000"/>
              </w:rPr>
              <w:t xml:space="preserve">Table </w:t>
            </w:r>
            <w:r w:rsidR="003F0BFF" w:rsidRPr="00830BAD">
              <w:rPr>
                <w:rFonts w:eastAsia="Times New Roman" w:cstheme="minorHAnsi"/>
                <w:b/>
                <w:color w:val="000000"/>
              </w:rPr>
              <w:t>1</w:t>
            </w:r>
            <w:r w:rsidR="00C17085" w:rsidRPr="00830BAD">
              <w:rPr>
                <w:rFonts w:eastAsia="Times New Roman" w:cstheme="minorHAnsi"/>
                <w:b/>
                <w:color w:val="000000"/>
              </w:rPr>
              <w:t xml:space="preserve"> </w:t>
            </w:r>
            <w:r w:rsidR="003F0BFF" w:rsidRPr="00C17085">
              <w:rPr>
                <w:rFonts w:eastAsia="Times New Roman" w:cstheme="minorHAnsi"/>
                <w:color w:val="000000"/>
              </w:rPr>
              <w:t xml:space="preserve">Characteristics </w:t>
            </w:r>
            <w:r w:rsidR="00C17085">
              <w:rPr>
                <w:rFonts w:eastAsia="Times New Roman" w:cstheme="minorHAnsi"/>
                <w:color w:val="000000"/>
              </w:rPr>
              <w:t>of The Respondents Group of Cases a</w:t>
            </w:r>
            <w:r w:rsidR="00C17085" w:rsidRPr="00C17085">
              <w:rPr>
                <w:rFonts w:eastAsia="Times New Roman" w:cstheme="minorHAnsi"/>
                <w:color w:val="000000"/>
              </w:rPr>
              <w:t xml:space="preserve">nd Controls </w:t>
            </w:r>
            <w:r w:rsidR="00C70DC4">
              <w:rPr>
                <w:rFonts w:eastAsia="Times New Roman" w:cstheme="minorHAnsi"/>
                <w:color w:val="000000"/>
              </w:rPr>
              <w:t xml:space="preserve">on High Junior School </w:t>
            </w:r>
            <w:r w:rsidR="003F0BFF" w:rsidRPr="00C17085">
              <w:rPr>
                <w:rFonts w:eastAsia="Times New Roman" w:cstheme="minorHAnsi"/>
                <w:color w:val="000000"/>
              </w:rPr>
              <w:t xml:space="preserve"> 21 Makassar</w:t>
            </w:r>
            <w:r w:rsidR="009E2614">
              <w:rPr>
                <w:rFonts w:eastAsia="Times New Roman" w:cstheme="minorHAnsi"/>
                <w:color w:val="000000"/>
              </w:rPr>
              <w:t>.</w:t>
            </w:r>
          </w:p>
        </w:tc>
      </w:tr>
      <w:tr w:rsidR="00154427" w:rsidRPr="00830BAD" w14:paraId="66EB8D33" w14:textId="77777777" w:rsidTr="002603E6">
        <w:trPr>
          <w:trHeight w:val="300"/>
        </w:trPr>
        <w:tc>
          <w:tcPr>
            <w:tcW w:w="709" w:type="dxa"/>
            <w:tcBorders>
              <w:top w:val="nil"/>
              <w:left w:val="nil"/>
              <w:bottom w:val="single" w:sz="4" w:space="0" w:color="auto"/>
              <w:right w:val="nil"/>
            </w:tcBorders>
            <w:shd w:val="clear" w:color="auto" w:fill="auto"/>
            <w:noWrap/>
            <w:vAlign w:val="center"/>
          </w:tcPr>
          <w:p w14:paraId="3D174CF5" w14:textId="133792A0" w:rsidR="00154427" w:rsidRPr="00830BAD" w:rsidRDefault="00154427" w:rsidP="00830BAD">
            <w:pPr>
              <w:spacing w:after="0" w:line="240" w:lineRule="auto"/>
              <w:jc w:val="both"/>
              <w:rPr>
                <w:rFonts w:eastAsia="Times New Roman" w:cstheme="minorHAnsi"/>
                <w:b/>
                <w:bCs/>
                <w:color w:val="000000"/>
              </w:rPr>
            </w:pPr>
          </w:p>
        </w:tc>
        <w:tc>
          <w:tcPr>
            <w:tcW w:w="2552" w:type="dxa"/>
            <w:tcBorders>
              <w:top w:val="nil"/>
              <w:left w:val="nil"/>
              <w:bottom w:val="single" w:sz="4" w:space="0" w:color="auto"/>
              <w:right w:val="nil"/>
            </w:tcBorders>
            <w:shd w:val="clear" w:color="auto" w:fill="auto"/>
            <w:noWrap/>
            <w:vAlign w:val="center"/>
            <w:hideMark/>
          </w:tcPr>
          <w:p w14:paraId="41F02187" w14:textId="579F26A3" w:rsidR="00154427" w:rsidRPr="00830BAD" w:rsidRDefault="004A6026" w:rsidP="00C17085">
            <w:pPr>
              <w:spacing w:after="0" w:line="240" w:lineRule="auto"/>
              <w:jc w:val="center"/>
              <w:rPr>
                <w:rFonts w:eastAsia="Times New Roman" w:cstheme="minorHAnsi"/>
                <w:b/>
                <w:bCs/>
                <w:color w:val="000000"/>
              </w:rPr>
            </w:pPr>
            <w:r w:rsidRPr="00830BAD">
              <w:rPr>
                <w:rFonts w:eastAsia="Times New Roman" w:cstheme="minorHAnsi"/>
                <w:b/>
                <w:bCs/>
                <w:color w:val="000000"/>
              </w:rPr>
              <w:t>Characteristics</w:t>
            </w:r>
          </w:p>
        </w:tc>
        <w:tc>
          <w:tcPr>
            <w:tcW w:w="2551" w:type="dxa"/>
            <w:tcBorders>
              <w:top w:val="nil"/>
              <w:left w:val="nil"/>
              <w:bottom w:val="single" w:sz="4" w:space="0" w:color="auto"/>
              <w:right w:val="nil"/>
            </w:tcBorders>
            <w:shd w:val="clear" w:color="auto" w:fill="auto"/>
            <w:noWrap/>
            <w:vAlign w:val="center"/>
            <w:hideMark/>
          </w:tcPr>
          <w:p w14:paraId="34431FAB" w14:textId="77777777" w:rsidR="00154427" w:rsidRPr="00830BAD" w:rsidRDefault="00154427" w:rsidP="00C17085">
            <w:pPr>
              <w:spacing w:after="0" w:line="240" w:lineRule="auto"/>
              <w:jc w:val="center"/>
              <w:rPr>
                <w:rFonts w:eastAsia="Times New Roman" w:cstheme="minorHAnsi"/>
                <w:b/>
                <w:bCs/>
                <w:color w:val="000000"/>
              </w:rPr>
            </w:pPr>
            <w:r w:rsidRPr="00830BAD">
              <w:rPr>
                <w:rFonts w:eastAsia="Times New Roman" w:cstheme="minorHAnsi"/>
                <w:b/>
                <w:bCs/>
                <w:color w:val="000000"/>
              </w:rPr>
              <w:t>n = 128</w:t>
            </w:r>
          </w:p>
        </w:tc>
        <w:tc>
          <w:tcPr>
            <w:tcW w:w="1843" w:type="dxa"/>
            <w:tcBorders>
              <w:top w:val="nil"/>
              <w:left w:val="nil"/>
              <w:bottom w:val="single" w:sz="4" w:space="0" w:color="auto"/>
              <w:right w:val="nil"/>
            </w:tcBorders>
            <w:shd w:val="clear" w:color="auto" w:fill="auto"/>
            <w:noWrap/>
            <w:vAlign w:val="center"/>
            <w:hideMark/>
          </w:tcPr>
          <w:p w14:paraId="0E22C4FB" w14:textId="77777777" w:rsidR="00154427" w:rsidRPr="00830BAD" w:rsidRDefault="00154427" w:rsidP="00C17085">
            <w:pPr>
              <w:spacing w:after="0" w:line="240" w:lineRule="auto"/>
              <w:jc w:val="center"/>
              <w:rPr>
                <w:rFonts w:eastAsia="Times New Roman" w:cstheme="minorHAnsi"/>
                <w:b/>
                <w:bCs/>
                <w:color w:val="000000"/>
              </w:rPr>
            </w:pPr>
            <w:r w:rsidRPr="00830BAD">
              <w:rPr>
                <w:rFonts w:eastAsia="Times New Roman" w:cstheme="minorHAnsi"/>
                <w:b/>
                <w:bCs/>
                <w:color w:val="000000"/>
              </w:rPr>
              <w:t>%</w:t>
            </w:r>
          </w:p>
        </w:tc>
      </w:tr>
      <w:tr w:rsidR="00154427" w:rsidRPr="00830BAD" w14:paraId="1E3E639C" w14:textId="77777777" w:rsidTr="002603E6">
        <w:trPr>
          <w:trHeight w:val="300"/>
        </w:trPr>
        <w:tc>
          <w:tcPr>
            <w:tcW w:w="709" w:type="dxa"/>
            <w:tcBorders>
              <w:top w:val="nil"/>
              <w:left w:val="nil"/>
              <w:bottom w:val="nil"/>
              <w:right w:val="nil"/>
            </w:tcBorders>
            <w:shd w:val="clear" w:color="auto" w:fill="auto"/>
            <w:noWrap/>
            <w:vAlign w:val="center"/>
          </w:tcPr>
          <w:p w14:paraId="7594CA52" w14:textId="5600D2E0" w:rsidR="00154427" w:rsidRPr="00830BAD" w:rsidRDefault="00154427" w:rsidP="00830BAD">
            <w:pPr>
              <w:spacing w:after="0" w:line="240" w:lineRule="auto"/>
              <w:jc w:val="both"/>
              <w:rPr>
                <w:rFonts w:eastAsia="Times New Roman" w:cstheme="minorHAnsi"/>
                <w:b/>
                <w:bCs/>
                <w:color w:val="000000"/>
              </w:rPr>
            </w:pPr>
          </w:p>
        </w:tc>
        <w:tc>
          <w:tcPr>
            <w:tcW w:w="5103" w:type="dxa"/>
            <w:gridSpan w:val="2"/>
            <w:tcBorders>
              <w:top w:val="nil"/>
              <w:left w:val="nil"/>
              <w:bottom w:val="nil"/>
              <w:right w:val="nil"/>
            </w:tcBorders>
            <w:shd w:val="clear" w:color="auto" w:fill="auto"/>
            <w:noWrap/>
            <w:vAlign w:val="center"/>
            <w:hideMark/>
          </w:tcPr>
          <w:p w14:paraId="6822A219" w14:textId="77777777" w:rsidR="00154427" w:rsidRPr="00830BAD" w:rsidRDefault="003F0BFF" w:rsidP="00830BAD">
            <w:pPr>
              <w:spacing w:after="0" w:line="240" w:lineRule="auto"/>
              <w:jc w:val="both"/>
              <w:rPr>
                <w:rFonts w:eastAsia="Times New Roman" w:cstheme="minorHAnsi"/>
                <w:b/>
                <w:bCs/>
                <w:color w:val="000000"/>
              </w:rPr>
            </w:pPr>
            <w:r w:rsidRPr="00830BAD">
              <w:rPr>
                <w:rFonts w:eastAsia="Times New Roman" w:cstheme="minorHAnsi"/>
                <w:b/>
                <w:bCs/>
                <w:color w:val="000000"/>
              </w:rPr>
              <w:t>Age</w:t>
            </w:r>
          </w:p>
        </w:tc>
        <w:tc>
          <w:tcPr>
            <w:tcW w:w="1843" w:type="dxa"/>
            <w:tcBorders>
              <w:top w:val="nil"/>
              <w:left w:val="nil"/>
              <w:bottom w:val="nil"/>
              <w:right w:val="nil"/>
            </w:tcBorders>
            <w:shd w:val="clear" w:color="auto" w:fill="auto"/>
            <w:noWrap/>
            <w:vAlign w:val="center"/>
            <w:hideMark/>
          </w:tcPr>
          <w:p w14:paraId="13B19218" w14:textId="77777777" w:rsidR="00154427" w:rsidRPr="00830BAD" w:rsidRDefault="00154427" w:rsidP="00830BAD">
            <w:pPr>
              <w:spacing w:after="0" w:line="240" w:lineRule="auto"/>
              <w:jc w:val="both"/>
              <w:rPr>
                <w:rFonts w:eastAsia="Times New Roman" w:cstheme="minorHAnsi"/>
                <w:b/>
                <w:bCs/>
                <w:color w:val="000000"/>
              </w:rPr>
            </w:pPr>
          </w:p>
        </w:tc>
      </w:tr>
      <w:tr w:rsidR="00154427" w:rsidRPr="00830BAD" w14:paraId="0BDE216C" w14:textId="77777777" w:rsidTr="002603E6">
        <w:trPr>
          <w:trHeight w:val="300"/>
        </w:trPr>
        <w:tc>
          <w:tcPr>
            <w:tcW w:w="709" w:type="dxa"/>
            <w:tcBorders>
              <w:top w:val="nil"/>
              <w:left w:val="nil"/>
              <w:bottom w:val="nil"/>
              <w:right w:val="nil"/>
            </w:tcBorders>
            <w:shd w:val="clear" w:color="auto" w:fill="auto"/>
            <w:noWrap/>
            <w:vAlign w:val="center"/>
          </w:tcPr>
          <w:p w14:paraId="5A8016AF" w14:textId="77777777" w:rsidR="00154427" w:rsidRPr="00830BAD" w:rsidRDefault="00154427" w:rsidP="00830BAD">
            <w:pPr>
              <w:spacing w:after="0" w:line="240" w:lineRule="auto"/>
              <w:jc w:val="both"/>
              <w:rPr>
                <w:rFonts w:eastAsia="Times New Roman" w:cstheme="minorHAnsi"/>
              </w:rPr>
            </w:pPr>
          </w:p>
        </w:tc>
        <w:tc>
          <w:tcPr>
            <w:tcW w:w="2552" w:type="dxa"/>
            <w:tcBorders>
              <w:top w:val="nil"/>
              <w:left w:val="nil"/>
              <w:bottom w:val="nil"/>
              <w:right w:val="nil"/>
            </w:tcBorders>
            <w:shd w:val="clear" w:color="auto" w:fill="auto"/>
            <w:noWrap/>
            <w:vAlign w:val="center"/>
            <w:hideMark/>
          </w:tcPr>
          <w:p w14:paraId="7EF32E8F"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14</w:t>
            </w:r>
            <w:r w:rsidR="001E33DA">
              <w:rPr>
                <w:rFonts w:eastAsia="Times New Roman" w:cstheme="minorHAnsi"/>
                <w:color w:val="000000"/>
              </w:rPr>
              <w:t xml:space="preserve"> years</w:t>
            </w:r>
          </w:p>
        </w:tc>
        <w:tc>
          <w:tcPr>
            <w:tcW w:w="2551" w:type="dxa"/>
            <w:tcBorders>
              <w:top w:val="nil"/>
              <w:left w:val="nil"/>
              <w:bottom w:val="nil"/>
              <w:right w:val="nil"/>
            </w:tcBorders>
            <w:shd w:val="clear" w:color="auto" w:fill="auto"/>
            <w:noWrap/>
            <w:vAlign w:val="center"/>
            <w:hideMark/>
          </w:tcPr>
          <w:p w14:paraId="524E0EDF" w14:textId="77777777" w:rsidR="00154427" w:rsidRPr="00830BAD" w:rsidRDefault="00154427" w:rsidP="00D15ADE">
            <w:pPr>
              <w:spacing w:after="0" w:line="240" w:lineRule="auto"/>
              <w:jc w:val="center"/>
              <w:rPr>
                <w:rFonts w:eastAsia="Times New Roman" w:cstheme="minorHAnsi"/>
                <w:color w:val="000000"/>
              </w:rPr>
            </w:pPr>
            <w:r w:rsidRPr="00830BAD">
              <w:rPr>
                <w:rFonts w:eastAsia="Times New Roman" w:cstheme="minorHAnsi"/>
                <w:color w:val="000000"/>
              </w:rPr>
              <w:t>1</w:t>
            </w:r>
          </w:p>
        </w:tc>
        <w:tc>
          <w:tcPr>
            <w:tcW w:w="1843" w:type="dxa"/>
            <w:tcBorders>
              <w:top w:val="nil"/>
              <w:left w:val="nil"/>
              <w:bottom w:val="nil"/>
              <w:right w:val="nil"/>
            </w:tcBorders>
            <w:shd w:val="clear" w:color="auto" w:fill="auto"/>
            <w:noWrap/>
            <w:vAlign w:val="center"/>
            <w:hideMark/>
          </w:tcPr>
          <w:p w14:paraId="179D62A5" w14:textId="7E770408" w:rsidR="00154427" w:rsidRPr="00830BAD" w:rsidRDefault="007121FD" w:rsidP="00D15ADE">
            <w:pPr>
              <w:spacing w:after="0" w:line="240" w:lineRule="auto"/>
              <w:jc w:val="center"/>
              <w:rPr>
                <w:rFonts w:eastAsia="Times New Roman" w:cstheme="minorHAnsi"/>
                <w:color w:val="000000"/>
              </w:rPr>
            </w:pPr>
            <w:r>
              <w:rPr>
                <w:rFonts w:eastAsia="Times New Roman" w:cstheme="minorHAnsi"/>
                <w:color w:val="000000"/>
              </w:rPr>
              <w:t>0.</w:t>
            </w:r>
            <w:r w:rsidR="00154427" w:rsidRPr="00830BAD">
              <w:rPr>
                <w:rFonts w:eastAsia="Times New Roman" w:cstheme="minorHAnsi"/>
                <w:color w:val="000000"/>
              </w:rPr>
              <w:t>8</w:t>
            </w:r>
          </w:p>
        </w:tc>
      </w:tr>
      <w:tr w:rsidR="00154427" w:rsidRPr="00830BAD" w14:paraId="3FB21799" w14:textId="77777777" w:rsidTr="002603E6">
        <w:trPr>
          <w:trHeight w:val="300"/>
        </w:trPr>
        <w:tc>
          <w:tcPr>
            <w:tcW w:w="709" w:type="dxa"/>
            <w:tcBorders>
              <w:top w:val="nil"/>
              <w:left w:val="nil"/>
              <w:bottom w:val="nil"/>
              <w:right w:val="nil"/>
            </w:tcBorders>
            <w:shd w:val="clear" w:color="auto" w:fill="auto"/>
            <w:noWrap/>
            <w:vAlign w:val="center"/>
          </w:tcPr>
          <w:p w14:paraId="63B4D8AA" w14:textId="77777777" w:rsidR="00154427" w:rsidRPr="00830BAD" w:rsidRDefault="00154427" w:rsidP="00830BAD">
            <w:pPr>
              <w:spacing w:after="0" w:line="240" w:lineRule="auto"/>
              <w:jc w:val="both"/>
              <w:rPr>
                <w:rFonts w:eastAsia="Times New Roman" w:cstheme="minorHAnsi"/>
                <w:color w:val="000000"/>
              </w:rPr>
            </w:pPr>
          </w:p>
        </w:tc>
        <w:tc>
          <w:tcPr>
            <w:tcW w:w="2552" w:type="dxa"/>
            <w:tcBorders>
              <w:top w:val="nil"/>
              <w:left w:val="nil"/>
              <w:bottom w:val="nil"/>
              <w:right w:val="nil"/>
            </w:tcBorders>
            <w:shd w:val="clear" w:color="auto" w:fill="auto"/>
            <w:noWrap/>
            <w:vAlign w:val="center"/>
            <w:hideMark/>
          </w:tcPr>
          <w:p w14:paraId="2BE8E6F2"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15</w:t>
            </w:r>
            <w:r w:rsidR="001E33DA">
              <w:rPr>
                <w:rFonts w:eastAsia="Times New Roman" w:cstheme="minorHAnsi"/>
                <w:color w:val="000000"/>
              </w:rPr>
              <w:t xml:space="preserve"> years</w:t>
            </w:r>
          </w:p>
        </w:tc>
        <w:tc>
          <w:tcPr>
            <w:tcW w:w="2551" w:type="dxa"/>
            <w:tcBorders>
              <w:top w:val="nil"/>
              <w:left w:val="nil"/>
              <w:bottom w:val="nil"/>
              <w:right w:val="nil"/>
            </w:tcBorders>
            <w:shd w:val="clear" w:color="auto" w:fill="auto"/>
            <w:noWrap/>
            <w:vAlign w:val="center"/>
            <w:hideMark/>
          </w:tcPr>
          <w:p w14:paraId="20F0AF0D" w14:textId="77777777" w:rsidR="00154427" w:rsidRPr="00830BAD" w:rsidRDefault="00154427" w:rsidP="00D15ADE">
            <w:pPr>
              <w:spacing w:after="0" w:line="240" w:lineRule="auto"/>
              <w:jc w:val="center"/>
              <w:rPr>
                <w:rFonts w:eastAsia="Times New Roman" w:cstheme="minorHAnsi"/>
                <w:color w:val="000000"/>
              </w:rPr>
            </w:pPr>
            <w:r w:rsidRPr="00830BAD">
              <w:rPr>
                <w:rFonts w:eastAsia="Times New Roman" w:cstheme="minorHAnsi"/>
                <w:color w:val="000000"/>
              </w:rPr>
              <w:t>35</w:t>
            </w:r>
          </w:p>
        </w:tc>
        <w:tc>
          <w:tcPr>
            <w:tcW w:w="1843" w:type="dxa"/>
            <w:tcBorders>
              <w:top w:val="nil"/>
              <w:left w:val="nil"/>
              <w:bottom w:val="nil"/>
              <w:right w:val="nil"/>
            </w:tcBorders>
            <w:shd w:val="clear" w:color="auto" w:fill="auto"/>
            <w:noWrap/>
            <w:vAlign w:val="center"/>
            <w:hideMark/>
          </w:tcPr>
          <w:p w14:paraId="4C785718" w14:textId="316B00C0" w:rsidR="00154427" w:rsidRPr="00830BAD" w:rsidRDefault="00154427" w:rsidP="00D15ADE">
            <w:pPr>
              <w:spacing w:after="0" w:line="240" w:lineRule="auto"/>
              <w:jc w:val="center"/>
              <w:rPr>
                <w:rFonts w:eastAsia="Times New Roman" w:cstheme="minorHAnsi"/>
                <w:color w:val="000000"/>
              </w:rPr>
            </w:pPr>
            <w:r w:rsidRPr="00830BAD">
              <w:rPr>
                <w:rFonts w:eastAsia="Times New Roman" w:cstheme="minorHAnsi"/>
                <w:color w:val="000000"/>
              </w:rPr>
              <w:t>27</w:t>
            </w:r>
            <w:r w:rsidR="007121FD">
              <w:rPr>
                <w:rFonts w:eastAsia="Times New Roman" w:cstheme="minorHAnsi"/>
                <w:color w:val="000000"/>
              </w:rPr>
              <w:t>.</w:t>
            </w:r>
            <w:r w:rsidRPr="00830BAD">
              <w:rPr>
                <w:rFonts w:eastAsia="Times New Roman" w:cstheme="minorHAnsi"/>
                <w:color w:val="000000"/>
              </w:rPr>
              <w:t>3</w:t>
            </w:r>
          </w:p>
        </w:tc>
      </w:tr>
      <w:tr w:rsidR="00154427" w:rsidRPr="00830BAD" w14:paraId="02E64B9A" w14:textId="77777777" w:rsidTr="002603E6">
        <w:trPr>
          <w:trHeight w:val="300"/>
        </w:trPr>
        <w:tc>
          <w:tcPr>
            <w:tcW w:w="709" w:type="dxa"/>
            <w:tcBorders>
              <w:top w:val="nil"/>
              <w:left w:val="nil"/>
              <w:bottom w:val="nil"/>
              <w:right w:val="nil"/>
            </w:tcBorders>
            <w:shd w:val="clear" w:color="auto" w:fill="auto"/>
            <w:noWrap/>
            <w:vAlign w:val="center"/>
          </w:tcPr>
          <w:p w14:paraId="2E40274B" w14:textId="77777777" w:rsidR="00154427" w:rsidRPr="00830BAD" w:rsidRDefault="00154427" w:rsidP="00830BAD">
            <w:pPr>
              <w:spacing w:after="0" w:line="240" w:lineRule="auto"/>
              <w:jc w:val="both"/>
              <w:rPr>
                <w:rFonts w:eastAsia="Times New Roman" w:cstheme="minorHAnsi"/>
                <w:color w:val="000000"/>
              </w:rPr>
            </w:pPr>
          </w:p>
        </w:tc>
        <w:tc>
          <w:tcPr>
            <w:tcW w:w="2552" w:type="dxa"/>
            <w:tcBorders>
              <w:top w:val="nil"/>
              <w:left w:val="nil"/>
              <w:bottom w:val="nil"/>
              <w:right w:val="nil"/>
            </w:tcBorders>
            <w:shd w:val="clear" w:color="auto" w:fill="auto"/>
            <w:noWrap/>
            <w:vAlign w:val="center"/>
            <w:hideMark/>
          </w:tcPr>
          <w:p w14:paraId="6E30327F"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16</w:t>
            </w:r>
            <w:r w:rsidR="001E33DA">
              <w:rPr>
                <w:rFonts w:eastAsia="Times New Roman" w:cstheme="minorHAnsi"/>
                <w:color w:val="000000"/>
              </w:rPr>
              <w:t xml:space="preserve"> years</w:t>
            </w:r>
          </w:p>
        </w:tc>
        <w:tc>
          <w:tcPr>
            <w:tcW w:w="2551" w:type="dxa"/>
            <w:tcBorders>
              <w:top w:val="nil"/>
              <w:left w:val="nil"/>
              <w:bottom w:val="nil"/>
              <w:right w:val="nil"/>
            </w:tcBorders>
            <w:shd w:val="clear" w:color="auto" w:fill="auto"/>
            <w:noWrap/>
            <w:vAlign w:val="center"/>
            <w:hideMark/>
          </w:tcPr>
          <w:p w14:paraId="4A0E3290" w14:textId="77777777" w:rsidR="00154427" w:rsidRPr="00830BAD" w:rsidRDefault="00154427" w:rsidP="00D15ADE">
            <w:pPr>
              <w:spacing w:after="0" w:line="240" w:lineRule="auto"/>
              <w:jc w:val="center"/>
              <w:rPr>
                <w:rFonts w:eastAsia="Times New Roman" w:cstheme="minorHAnsi"/>
                <w:color w:val="000000"/>
              </w:rPr>
            </w:pPr>
            <w:r w:rsidRPr="00830BAD">
              <w:rPr>
                <w:rFonts w:eastAsia="Times New Roman" w:cstheme="minorHAnsi"/>
                <w:color w:val="000000"/>
              </w:rPr>
              <w:t>74</w:t>
            </w:r>
          </w:p>
        </w:tc>
        <w:tc>
          <w:tcPr>
            <w:tcW w:w="1843" w:type="dxa"/>
            <w:tcBorders>
              <w:top w:val="nil"/>
              <w:left w:val="nil"/>
              <w:bottom w:val="nil"/>
              <w:right w:val="nil"/>
            </w:tcBorders>
            <w:shd w:val="clear" w:color="auto" w:fill="auto"/>
            <w:noWrap/>
            <w:vAlign w:val="center"/>
            <w:hideMark/>
          </w:tcPr>
          <w:p w14:paraId="1DB6A50B" w14:textId="0496B3DB" w:rsidR="00154427" w:rsidRPr="00830BAD" w:rsidRDefault="007121FD" w:rsidP="00D15ADE">
            <w:pPr>
              <w:spacing w:after="0" w:line="240" w:lineRule="auto"/>
              <w:jc w:val="center"/>
              <w:rPr>
                <w:rFonts w:eastAsia="Times New Roman" w:cstheme="minorHAnsi"/>
                <w:color w:val="000000"/>
              </w:rPr>
            </w:pPr>
            <w:r>
              <w:rPr>
                <w:rFonts w:eastAsia="Times New Roman" w:cstheme="minorHAnsi"/>
                <w:color w:val="000000"/>
              </w:rPr>
              <w:t>57.</w:t>
            </w:r>
            <w:r w:rsidR="00154427" w:rsidRPr="00830BAD">
              <w:rPr>
                <w:rFonts w:eastAsia="Times New Roman" w:cstheme="minorHAnsi"/>
                <w:color w:val="000000"/>
              </w:rPr>
              <w:t>8</w:t>
            </w:r>
          </w:p>
        </w:tc>
      </w:tr>
      <w:tr w:rsidR="00154427" w:rsidRPr="00830BAD" w14:paraId="7EECAB0D" w14:textId="77777777" w:rsidTr="002603E6">
        <w:trPr>
          <w:trHeight w:val="300"/>
        </w:trPr>
        <w:tc>
          <w:tcPr>
            <w:tcW w:w="709" w:type="dxa"/>
            <w:tcBorders>
              <w:top w:val="nil"/>
              <w:left w:val="nil"/>
              <w:bottom w:val="nil"/>
              <w:right w:val="nil"/>
            </w:tcBorders>
            <w:shd w:val="clear" w:color="auto" w:fill="auto"/>
            <w:noWrap/>
            <w:vAlign w:val="center"/>
          </w:tcPr>
          <w:p w14:paraId="57EEF3B0" w14:textId="77777777" w:rsidR="00154427" w:rsidRPr="00830BAD" w:rsidRDefault="00154427" w:rsidP="00830BAD">
            <w:pPr>
              <w:spacing w:after="0" w:line="240" w:lineRule="auto"/>
              <w:jc w:val="both"/>
              <w:rPr>
                <w:rFonts w:eastAsia="Times New Roman" w:cstheme="minorHAnsi"/>
                <w:color w:val="000000"/>
              </w:rPr>
            </w:pPr>
          </w:p>
        </w:tc>
        <w:tc>
          <w:tcPr>
            <w:tcW w:w="2552" w:type="dxa"/>
            <w:tcBorders>
              <w:top w:val="nil"/>
              <w:left w:val="nil"/>
              <w:bottom w:val="nil"/>
              <w:right w:val="nil"/>
            </w:tcBorders>
            <w:shd w:val="clear" w:color="auto" w:fill="auto"/>
            <w:noWrap/>
            <w:vAlign w:val="center"/>
            <w:hideMark/>
          </w:tcPr>
          <w:p w14:paraId="05078F3E"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17</w:t>
            </w:r>
            <w:r w:rsidR="001E33DA">
              <w:rPr>
                <w:rFonts w:eastAsia="Times New Roman" w:cstheme="minorHAnsi"/>
                <w:color w:val="000000"/>
              </w:rPr>
              <w:t xml:space="preserve"> years</w:t>
            </w:r>
          </w:p>
        </w:tc>
        <w:tc>
          <w:tcPr>
            <w:tcW w:w="2551" w:type="dxa"/>
            <w:tcBorders>
              <w:top w:val="nil"/>
              <w:left w:val="nil"/>
              <w:bottom w:val="nil"/>
              <w:right w:val="nil"/>
            </w:tcBorders>
            <w:shd w:val="clear" w:color="auto" w:fill="auto"/>
            <w:noWrap/>
            <w:vAlign w:val="center"/>
            <w:hideMark/>
          </w:tcPr>
          <w:p w14:paraId="0E0F0203" w14:textId="77777777" w:rsidR="00154427" w:rsidRPr="00830BAD" w:rsidRDefault="00154427" w:rsidP="00D15ADE">
            <w:pPr>
              <w:spacing w:after="0" w:line="240" w:lineRule="auto"/>
              <w:jc w:val="center"/>
              <w:rPr>
                <w:rFonts w:eastAsia="Times New Roman" w:cstheme="minorHAnsi"/>
                <w:color w:val="000000"/>
              </w:rPr>
            </w:pPr>
            <w:r w:rsidRPr="00830BAD">
              <w:rPr>
                <w:rFonts w:eastAsia="Times New Roman" w:cstheme="minorHAnsi"/>
                <w:color w:val="000000"/>
              </w:rPr>
              <w:t>18</w:t>
            </w:r>
          </w:p>
        </w:tc>
        <w:tc>
          <w:tcPr>
            <w:tcW w:w="1843" w:type="dxa"/>
            <w:tcBorders>
              <w:top w:val="nil"/>
              <w:left w:val="nil"/>
              <w:bottom w:val="nil"/>
              <w:right w:val="nil"/>
            </w:tcBorders>
            <w:shd w:val="clear" w:color="auto" w:fill="auto"/>
            <w:noWrap/>
            <w:vAlign w:val="center"/>
            <w:hideMark/>
          </w:tcPr>
          <w:p w14:paraId="70CCE150" w14:textId="3D58E16A" w:rsidR="00154427" w:rsidRPr="00830BAD" w:rsidRDefault="007121FD" w:rsidP="00D15ADE">
            <w:pPr>
              <w:spacing w:after="0" w:line="240" w:lineRule="auto"/>
              <w:jc w:val="center"/>
              <w:rPr>
                <w:rFonts w:eastAsia="Times New Roman" w:cstheme="minorHAnsi"/>
                <w:color w:val="000000"/>
              </w:rPr>
            </w:pPr>
            <w:r>
              <w:rPr>
                <w:rFonts w:eastAsia="Times New Roman" w:cstheme="minorHAnsi"/>
                <w:color w:val="000000"/>
              </w:rPr>
              <w:t>14.</w:t>
            </w:r>
            <w:r w:rsidR="00154427" w:rsidRPr="00830BAD">
              <w:rPr>
                <w:rFonts w:eastAsia="Times New Roman" w:cstheme="minorHAnsi"/>
                <w:color w:val="000000"/>
              </w:rPr>
              <w:t>1</w:t>
            </w:r>
          </w:p>
        </w:tc>
      </w:tr>
      <w:tr w:rsidR="00154427" w:rsidRPr="00830BAD" w14:paraId="75C55E32" w14:textId="77777777" w:rsidTr="002603E6">
        <w:trPr>
          <w:trHeight w:val="300"/>
        </w:trPr>
        <w:tc>
          <w:tcPr>
            <w:tcW w:w="709" w:type="dxa"/>
            <w:tcBorders>
              <w:top w:val="nil"/>
              <w:left w:val="nil"/>
              <w:bottom w:val="nil"/>
              <w:right w:val="nil"/>
            </w:tcBorders>
            <w:shd w:val="clear" w:color="auto" w:fill="auto"/>
            <w:noWrap/>
            <w:vAlign w:val="center"/>
          </w:tcPr>
          <w:p w14:paraId="586B0EA1" w14:textId="78A6B18A" w:rsidR="00154427" w:rsidRPr="00830BAD" w:rsidRDefault="00154427" w:rsidP="00830BAD">
            <w:pPr>
              <w:spacing w:after="0" w:line="240" w:lineRule="auto"/>
              <w:jc w:val="both"/>
              <w:rPr>
                <w:rFonts w:eastAsia="Times New Roman" w:cstheme="minorHAnsi"/>
                <w:b/>
                <w:bCs/>
                <w:color w:val="000000"/>
              </w:rPr>
            </w:pPr>
          </w:p>
        </w:tc>
        <w:tc>
          <w:tcPr>
            <w:tcW w:w="5103" w:type="dxa"/>
            <w:gridSpan w:val="2"/>
            <w:tcBorders>
              <w:top w:val="nil"/>
              <w:left w:val="nil"/>
              <w:bottom w:val="nil"/>
              <w:right w:val="nil"/>
            </w:tcBorders>
            <w:shd w:val="clear" w:color="auto" w:fill="auto"/>
            <w:noWrap/>
            <w:vAlign w:val="center"/>
            <w:hideMark/>
          </w:tcPr>
          <w:p w14:paraId="1E1D088A" w14:textId="77777777" w:rsidR="00154427" w:rsidRPr="00830BAD" w:rsidRDefault="003F0BFF" w:rsidP="00830BAD">
            <w:pPr>
              <w:spacing w:after="0" w:line="240" w:lineRule="auto"/>
              <w:jc w:val="both"/>
              <w:rPr>
                <w:rFonts w:eastAsia="Times New Roman" w:cstheme="minorHAnsi"/>
                <w:b/>
                <w:bCs/>
                <w:color w:val="000000"/>
              </w:rPr>
            </w:pPr>
            <w:r w:rsidRPr="00830BAD">
              <w:rPr>
                <w:rFonts w:eastAsia="Times New Roman" w:cstheme="minorHAnsi"/>
                <w:b/>
                <w:bCs/>
                <w:color w:val="000000"/>
              </w:rPr>
              <w:t xml:space="preserve">Menstrual cycle </w:t>
            </w:r>
          </w:p>
        </w:tc>
        <w:tc>
          <w:tcPr>
            <w:tcW w:w="1843" w:type="dxa"/>
            <w:tcBorders>
              <w:top w:val="nil"/>
              <w:left w:val="nil"/>
              <w:bottom w:val="nil"/>
              <w:right w:val="nil"/>
            </w:tcBorders>
            <w:shd w:val="clear" w:color="auto" w:fill="auto"/>
            <w:noWrap/>
            <w:vAlign w:val="center"/>
            <w:hideMark/>
          </w:tcPr>
          <w:p w14:paraId="5ADD45A3" w14:textId="77777777" w:rsidR="00154427" w:rsidRPr="00830BAD" w:rsidRDefault="00154427" w:rsidP="00830BAD">
            <w:pPr>
              <w:spacing w:after="0" w:line="240" w:lineRule="auto"/>
              <w:jc w:val="both"/>
              <w:rPr>
                <w:rFonts w:eastAsia="Times New Roman" w:cstheme="minorHAnsi"/>
                <w:b/>
                <w:bCs/>
                <w:color w:val="000000"/>
              </w:rPr>
            </w:pPr>
          </w:p>
        </w:tc>
      </w:tr>
      <w:tr w:rsidR="00154427" w:rsidRPr="00830BAD" w14:paraId="69FE304B" w14:textId="77777777" w:rsidTr="002603E6">
        <w:trPr>
          <w:trHeight w:val="300"/>
        </w:trPr>
        <w:tc>
          <w:tcPr>
            <w:tcW w:w="709" w:type="dxa"/>
            <w:tcBorders>
              <w:top w:val="nil"/>
              <w:left w:val="nil"/>
              <w:bottom w:val="nil"/>
              <w:right w:val="nil"/>
            </w:tcBorders>
            <w:shd w:val="clear" w:color="auto" w:fill="auto"/>
            <w:noWrap/>
            <w:vAlign w:val="center"/>
          </w:tcPr>
          <w:p w14:paraId="2FBB9828" w14:textId="77777777" w:rsidR="00154427" w:rsidRPr="00830BAD" w:rsidRDefault="00154427" w:rsidP="00830BAD">
            <w:pPr>
              <w:spacing w:after="0" w:line="240" w:lineRule="auto"/>
              <w:jc w:val="both"/>
              <w:rPr>
                <w:rFonts w:eastAsia="Times New Roman" w:cstheme="minorHAnsi"/>
              </w:rPr>
            </w:pPr>
          </w:p>
        </w:tc>
        <w:tc>
          <w:tcPr>
            <w:tcW w:w="2552" w:type="dxa"/>
            <w:tcBorders>
              <w:top w:val="nil"/>
              <w:left w:val="nil"/>
              <w:bottom w:val="nil"/>
              <w:right w:val="nil"/>
            </w:tcBorders>
            <w:shd w:val="clear" w:color="auto" w:fill="auto"/>
            <w:noWrap/>
            <w:vAlign w:val="center"/>
            <w:hideMark/>
          </w:tcPr>
          <w:p w14:paraId="4AC8F0E6"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&lt; 21</w:t>
            </w:r>
            <w:r w:rsidR="001E33DA">
              <w:rPr>
                <w:rFonts w:eastAsia="Times New Roman" w:cstheme="minorHAnsi"/>
                <w:color w:val="000000"/>
              </w:rPr>
              <w:t xml:space="preserve"> week</w:t>
            </w:r>
          </w:p>
        </w:tc>
        <w:tc>
          <w:tcPr>
            <w:tcW w:w="2551" w:type="dxa"/>
            <w:tcBorders>
              <w:top w:val="nil"/>
              <w:left w:val="nil"/>
              <w:bottom w:val="nil"/>
              <w:right w:val="nil"/>
            </w:tcBorders>
            <w:shd w:val="clear" w:color="auto" w:fill="auto"/>
            <w:noWrap/>
            <w:vAlign w:val="center"/>
            <w:hideMark/>
          </w:tcPr>
          <w:p w14:paraId="19CE9481" w14:textId="77777777" w:rsidR="00154427" w:rsidRPr="00830BAD" w:rsidRDefault="00154427" w:rsidP="00D15ADE">
            <w:pPr>
              <w:spacing w:after="0" w:line="240" w:lineRule="auto"/>
              <w:jc w:val="center"/>
              <w:rPr>
                <w:rFonts w:eastAsia="Times New Roman" w:cstheme="minorHAnsi"/>
                <w:color w:val="000000"/>
              </w:rPr>
            </w:pPr>
            <w:r w:rsidRPr="00830BAD">
              <w:rPr>
                <w:rFonts w:eastAsia="Times New Roman" w:cstheme="minorHAnsi"/>
                <w:color w:val="000000"/>
              </w:rPr>
              <w:t>3</w:t>
            </w:r>
          </w:p>
        </w:tc>
        <w:tc>
          <w:tcPr>
            <w:tcW w:w="1843" w:type="dxa"/>
            <w:tcBorders>
              <w:top w:val="nil"/>
              <w:left w:val="nil"/>
              <w:bottom w:val="nil"/>
              <w:right w:val="nil"/>
            </w:tcBorders>
            <w:shd w:val="clear" w:color="auto" w:fill="auto"/>
            <w:noWrap/>
            <w:vAlign w:val="center"/>
            <w:hideMark/>
          </w:tcPr>
          <w:p w14:paraId="2523D063" w14:textId="3D137FAB" w:rsidR="00154427" w:rsidRPr="00830BAD" w:rsidRDefault="007121FD" w:rsidP="00D15ADE">
            <w:pPr>
              <w:spacing w:after="0" w:line="240" w:lineRule="auto"/>
              <w:jc w:val="center"/>
              <w:rPr>
                <w:rFonts w:eastAsia="Times New Roman" w:cstheme="minorHAnsi"/>
                <w:color w:val="000000"/>
              </w:rPr>
            </w:pPr>
            <w:r>
              <w:rPr>
                <w:rFonts w:eastAsia="Times New Roman" w:cstheme="minorHAnsi"/>
                <w:color w:val="000000"/>
              </w:rPr>
              <w:t>2.</w:t>
            </w:r>
            <w:r w:rsidR="00154427" w:rsidRPr="00830BAD">
              <w:rPr>
                <w:rFonts w:eastAsia="Times New Roman" w:cstheme="minorHAnsi"/>
                <w:color w:val="000000"/>
              </w:rPr>
              <w:t>3</w:t>
            </w:r>
          </w:p>
        </w:tc>
      </w:tr>
      <w:tr w:rsidR="00154427" w:rsidRPr="00830BAD" w14:paraId="55EC3515" w14:textId="77777777" w:rsidTr="002603E6">
        <w:trPr>
          <w:trHeight w:val="300"/>
        </w:trPr>
        <w:tc>
          <w:tcPr>
            <w:tcW w:w="709" w:type="dxa"/>
            <w:tcBorders>
              <w:top w:val="nil"/>
              <w:left w:val="nil"/>
              <w:bottom w:val="nil"/>
              <w:right w:val="nil"/>
            </w:tcBorders>
            <w:shd w:val="clear" w:color="auto" w:fill="auto"/>
            <w:noWrap/>
            <w:vAlign w:val="center"/>
          </w:tcPr>
          <w:p w14:paraId="578F8E47" w14:textId="77777777" w:rsidR="00154427" w:rsidRPr="00830BAD" w:rsidRDefault="00154427" w:rsidP="00830BAD">
            <w:pPr>
              <w:spacing w:after="0" w:line="240" w:lineRule="auto"/>
              <w:jc w:val="both"/>
              <w:rPr>
                <w:rFonts w:eastAsia="Times New Roman" w:cstheme="minorHAnsi"/>
                <w:color w:val="000000"/>
              </w:rPr>
            </w:pPr>
          </w:p>
        </w:tc>
        <w:tc>
          <w:tcPr>
            <w:tcW w:w="2552" w:type="dxa"/>
            <w:tcBorders>
              <w:top w:val="nil"/>
              <w:left w:val="nil"/>
              <w:bottom w:val="nil"/>
              <w:right w:val="nil"/>
            </w:tcBorders>
            <w:shd w:val="clear" w:color="auto" w:fill="auto"/>
            <w:noWrap/>
            <w:vAlign w:val="center"/>
            <w:hideMark/>
          </w:tcPr>
          <w:p w14:paraId="39521C40"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21 – 35</w:t>
            </w:r>
            <w:r w:rsidR="001E33DA">
              <w:rPr>
                <w:rFonts w:eastAsia="Times New Roman" w:cstheme="minorHAnsi"/>
                <w:color w:val="000000"/>
              </w:rPr>
              <w:t xml:space="preserve"> week</w:t>
            </w:r>
          </w:p>
        </w:tc>
        <w:tc>
          <w:tcPr>
            <w:tcW w:w="2551" w:type="dxa"/>
            <w:tcBorders>
              <w:top w:val="nil"/>
              <w:left w:val="nil"/>
              <w:bottom w:val="nil"/>
              <w:right w:val="nil"/>
            </w:tcBorders>
            <w:shd w:val="clear" w:color="auto" w:fill="auto"/>
            <w:noWrap/>
            <w:vAlign w:val="center"/>
            <w:hideMark/>
          </w:tcPr>
          <w:p w14:paraId="1E1290A7" w14:textId="77777777" w:rsidR="00154427" w:rsidRPr="00830BAD" w:rsidRDefault="00154427" w:rsidP="00D15ADE">
            <w:pPr>
              <w:spacing w:after="0" w:line="240" w:lineRule="auto"/>
              <w:jc w:val="center"/>
              <w:rPr>
                <w:rFonts w:eastAsia="Times New Roman" w:cstheme="minorHAnsi"/>
                <w:color w:val="000000"/>
              </w:rPr>
            </w:pPr>
            <w:r w:rsidRPr="00830BAD">
              <w:rPr>
                <w:rFonts w:eastAsia="Times New Roman" w:cstheme="minorHAnsi"/>
                <w:color w:val="000000"/>
              </w:rPr>
              <w:t>124</w:t>
            </w:r>
          </w:p>
        </w:tc>
        <w:tc>
          <w:tcPr>
            <w:tcW w:w="1843" w:type="dxa"/>
            <w:tcBorders>
              <w:top w:val="nil"/>
              <w:left w:val="nil"/>
              <w:bottom w:val="nil"/>
              <w:right w:val="nil"/>
            </w:tcBorders>
            <w:shd w:val="clear" w:color="auto" w:fill="auto"/>
            <w:noWrap/>
            <w:vAlign w:val="center"/>
            <w:hideMark/>
          </w:tcPr>
          <w:p w14:paraId="4944227F" w14:textId="4994EB22" w:rsidR="00154427" w:rsidRPr="00830BAD" w:rsidRDefault="00154427" w:rsidP="00D15ADE">
            <w:pPr>
              <w:spacing w:after="0" w:line="240" w:lineRule="auto"/>
              <w:jc w:val="center"/>
              <w:rPr>
                <w:rFonts w:eastAsia="Times New Roman" w:cstheme="minorHAnsi"/>
                <w:color w:val="000000"/>
              </w:rPr>
            </w:pPr>
            <w:r w:rsidRPr="00830BAD">
              <w:rPr>
                <w:rFonts w:eastAsia="Times New Roman" w:cstheme="minorHAnsi"/>
                <w:color w:val="000000"/>
              </w:rPr>
              <w:t>96</w:t>
            </w:r>
            <w:r w:rsidR="007121FD">
              <w:rPr>
                <w:rFonts w:eastAsia="Times New Roman" w:cstheme="minorHAnsi"/>
                <w:color w:val="000000"/>
              </w:rPr>
              <w:t>.</w:t>
            </w:r>
            <w:r w:rsidRPr="00830BAD">
              <w:rPr>
                <w:rFonts w:eastAsia="Times New Roman" w:cstheme="minorHAnsi"/>
                <w:color w:val="000000"/>
              </w:rPr>
              <w:t>9</w:t>
            </w:r>
          </w:p>
        </w:tc>
      </w:tr>
      <w:tr w:rsidR="00154427" w:rsidRPr="00830BAD" w14:paraId="1E47080F" w14:textId="77777777" w:rsidTr="002603E6">
        <w:trPr>
          <w:trHeight w:val="300"/>
        </w:trPr>
        <w:tc>
          <w:tcPr>
            <w:tcW w:w="709" w:type="dxa"/>
            <w:tcBorders>
              <w:top w:val="nil"/>
              <w:left w:val="nil"/>
              <w:bottom w:val="nil"/>
              <w:right w:val="nil"/>
            </w:tcBorders>
            <w:shd w:val="clear" w:color="auto" w:fill="auto"/>
            <w:noWrap/>
            <w:vAlign w:val="center"/>
          </w:tcPr>
          <w:p w14:paraId="61BD4363" w14:textId="77777777" w:rsidR="00154427" w:rsidRPr="00830BAD" w:rsidRDefault="00154427" w:rsidP="00830BAD">
            <w:pPr>
              <w:spacing w:after="0" w:line="240" w:lineRule="auto"/>
              <w:jc w:val="both"/>
              <w:rPr>
                <w:rFonts w:eastAsia="Times New Roman" w:cstheme="minorHAnsi"/>
                <w:color w:val="000000"/>
              </w:rPr>
            </w:pPr>
          </w:p>
        </w:tc>
        <w:tc>
          <w:tcPr>
            <w:tcW w:w="2552" w:type="dxa"/>
            <w:tcBorders>
              <w:top w:val="nil"/>
              <w:left w:val="nil"/>
              <w:bottom w:val="nil"/>
              <w:right w:val="nil"/>
            </w:tcBorders>
            <w:shd w:val="clear" w:color="auto" w:fill="auto"/>
            <w:noWrap/>
            <w:vAlign w:val="center"/>
            <w:hideMark/>
          </w:tcPr>
          <w:p w14:paraId="34CF2839"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&gt; 35</w:t>
            </w:r>
            <w:r w:rsidR="001E33DA">
              <w:rPr>
                <w:rFonts w:eastAsia="Times New Roman" w:cstheme="minorHAnsi"/>
                <w:color w:val="000000"/>
              </w:rPr>
              <w:t xml:space="preserve"> week</w:t>
            </w:r>
          </w:p>
        </w:tc>
        <w:tc>
          <w:tcPr>
            <w:tcW w:w="2551" w:type="dxa"/>
            <w:tcBorders>
              <w:top w:val="nil"/>
              <w:left w:val="nil"/>
              <w:bottom w:val="nil"/>
              <w:right w:val="nil"/>
            </w:tcBorders>
            <w:shd w:val="clear" w:color="auto" w:fill="auto"/>
            <w:noWrap/>
            <w:vAlign w:val="center"/>
            <w:hideMark/>
          </w:tcPr>
          <w:p w14:paraId="0A46E4D5" w14:textId="77777777" w:rsidR="00154427" w:rsidRPr="00830BAD" w:rsidRDefault="00154427" w:rsidP="00D15ADE">
            <w:pPr>
              <w:spacing w:after="0" w:line="240" w:lineRule="auto"/>
              <w:jc w:val="center"/>
              <w:rPr>
                <w:rFonts w:eastAsia="Times New Roman" w:cstheme="minorHAnsi"/>
                <w:color w:val="000000"/>
              </w:rPr>
            </w:pPr>
            <w:r w:rsidRPr="00830BAD">
              <w:rPr>
                <w:rFonts w:eastAsia="Times New Roman" w:cstheme="minorHAnsi"/>
                <w:color w:val="000000"/>
              </w:rPr>
              <w:t>1</w:t>
            </w:r>
          </w:p>
        </w:tc>
        <w:tc>
          <w:tcPr>
            <w:tcW w:w="1843" w:type="dxa"/>
            <w:tcBorders>
              <w:top w:val="nil"/>
              <w:left w:val="nil"/>
              <w:bottom w:val="nil"/>
              <w:right w:val="nil"/>
            </w:tcBorders>
            <w:shd w:val="clear" w:color="auto" w:fill="auto"/>
            <w:noWrap/>
            <w:vAlign w:val="center"/>
            <w:hideMark/>
          </w:tcPr>
          <w:p w14:paraId="5CC575DA" w14:textId="6D27E7FE" w:rsidR="00154427" w:rsidRPr="00830BAD" w:rsidRDefault="007121FD" w:rsidP="00D15ADE">
            <w:pPr>
              <w:spacing w:after="0" w:line="240" w:lineRule="auto"/>
              <w:jc w:val="center"/>
              <w:rPr>
                <w:rFonts w:eastAsia="Times New Roman" w:cstheme="minorHAnsi"/>
                <w:color w:val="000000"/>
              </w:rPr>
            </w:pPr>
            <w:r>
              <w:rPr>
                <w:rFonts w:eastAsia="Times New Roman" w:cstheme="minorHAnsi"/>
                <w:color w:val="000000"/>
              </w:rPr>
              <w:t>0.</w:t>
            </w:r>
            <w:r w:rsidR="00154427" w:rsidRPr="00830BAD">
              <w:rPr>
                <w:rFonts w:eastAsia="Times New Roman" w:cstheme="minorHAnsi"/>
                <w:color w:val="000000"/>
              </w:rPr>
              <w:t>8</w:t>
            </w:r>
          </w:p>
        </w:tc>
      </w:tr>
      <w:tr w:rsidR="00154427" w:rsidRPr="00830BAD" w14:paraId="3C549202" w14:textId="77777777" w:rsidTr="002603E6">
        <w:trPr>
          <w:trHeight w:val="300"/>
        </w:trPr>
        <w:tc>
          <w:tcPr>
            <w:tcW w:w="709" w:type="dxa"/>
            <w:tcBorders>
              <w:top w:val="nil"/>
              <w:left w:val="nil"/>
              <w:bottom w:val="nil"/>
              <w:right w:val="nil"/>
            </w:tcBorders>
            <w:shd w:val="clear" w:color="auto" w:fill="auto"/>
            <w:noWrap/>
            <w:vAlign w:val="center"/>
          </w:tcPr>
          <w:p w14:paraId="260CF574" w14:textId="2DF5F6FE" w:rsidR="00154427" w:rsidRPr="00830BAD" w:rsidRDefault="00154427" w:rsidP="00830BAD">
            <w:pPr>
              <w:spacing w:after="0" w:line="240" w:lineRule="auto"/>
              <w:jc w:val="both"/>
              <w:rPr>
                <w:rFonts w:eastAsia="Times New Roman" w:cstheme="minorHAnsi"/>
                <w:b/>
                <w:bCs/>
                <w:color w:val="000000"/>
              </w:rPr>
            </w:pPr>
          </w:p>
        </w:tc>
        <w:tc>
          <w:tcPr>
            <w:tcW w:w="5103" w:type="dxa"/>
            <w:gridSpan w:val="2"/>
            <w:tcBorders>
              <w:top w:val="nil"/>
              <w:left w:val="nil"/>
              <w:bottom w:val="nil"/>
              <w:right w:val="nil"/>
            </w:tcBorders>
            <w:shd w:val="clear" w:color="auto" w:fill="auto"/>
            <w:noWrap/>
            <w:vAlign w:val="center"/>
            <w:hideMark/>
          </w:tcPr>
          <w:p w14:paraId="5A3119FD" w14:textId="77777777" w:rsidR="00154427" w:rsidRPr="00830BAD" w:rsidRDefault="001E33DA" w:rsidP="00830BAD">
            <w:pPr>
              <w:spacing w:after="0" w:line="240" w:lineRule="auto"/>
              <w:jc w:val="both"/>
              <w:rPr>
                <w:rFonts w:eastAsia="Times New Roman" w:cstheme="minorHAnsi"/>
                <w:b/>
                <w:bCs/>
                <w:color w:val="000000"/>
              </w:rPr>
            </w:pPr>
            <w:r>
              <w:rPr>
                <w:rFonts w:eastAsia="Times New Roman" w:cstheme="minorHAnsi"/>
                <w:b/>
                <w:bCs/>
                <w:color w:val="000000"/>
              </w:rPr>
              <w:t>M</w:t>
            </w:r>
            <w:r w:rsidR="003F0BFF" w:rsidRPr="00830BAD">
              <w:rPr>
                <w:rFonts w:eastAsia="Times New Roman" w:cstheme="minorHAnsi"/>
                <w:b/>
                <w:bCs/>
                <w:color w:val="000000"/>
              </w:rPr>
              <w:t>enstruation</w:t>
            </w:r>
          </w:p>
        </w:tc>
        <w:tc>
          <w:tcPr>
            <w:tcW w:w="1843" w:type="dxa"/>
            <w:tcBorders>
              <w:top w:val="nil"/>
              <w:left w:val="nil"/>
              <w:bottom w:val="nil"/>
              <w:right w:val="nil"/>
            </w:tcBorders>
            <w:shd w:val="clear" w:color="auto" w:fill="auto"/>
            <w:noWrap/>
            <w:vAlign w:val="center"/>
            <w:hideMark/>
          </w:tcPr>
          <w:p w14:paraId="28BED741" w14:textId="77777777" w:rsidR="00154427" w:rsidRPr="00830BAD" w:rsidRDefault="00154427" w:rsidP="00830BAD">
            <w:pPr>
              <w:spacing w:after="0" w:line="240" w:lineRule="auto"/>
              <w:jc w:val="both"/>
              <w:rPr>
                <w:rFonts w:eastAsia="Times New Roman" w:cstheme="minorHAnsi"/>
                <w:b/>
                <w:bCs/>
                <w:color w:val="000000"/>
              </w:rPr>
            </w:pPr>
          </w:p>
        </w:tc>
      </w:tr>
      <w:tr w:rsidR="00154427" w:rsidRPr="00830BAD" w14:paraId="34B32FE8" w14:textId="77777777" w:rsidTr="002603E6">
        <w:trPr>
          <w:trHeight w:val="300"/>
        </w:trPr>
        <w:tc>
          <w:tcPr>
            <w:tcW w:w="709" w:type="dxa"/>
            <w:tcBorders>
              <w:top w:val="nil"/>
              <w:left w:val="nil"/>
              <w:bottom w:val="nil"/>
              <w:right w:val="nil"/>
            </w:tcBorders>
            <w:shd w:val="clear" w:color="auto" w:fill="auto"/>
            <w:noWrap/>
            <w:vAlign w:val="center"/>
          </w:tcPr>
          <w:p w14:paraId="137235D0" w14:textId="77777777" w:rsidR="00154427" w:rsidRPr="00830BAD" w:rsidRDefault="00154427" w:rsidP="00830BAD">
            <w:pPr>
              <w:spacing w:after="0" w:line="240" w:lineRule="auto"/>
              <w:jc w:val="both"/>
              <w:rPr>
                <w:rFonts w:eastAsia="Times New Roman" w:cstheme="minorHAnsi"/>
              </w:rPr>
            </w:pPr>
          </w:p>
        </w:tc>
        <w:tc>
          <w:tcPr>
            <w:tcW w:w="2552" w:type="dxa"/>
            <w:tcBorders>
              <w:top w:val="nil"/>
              <w:left w:val="nil"/>
              <w:bottom w:val="nil"/>
              <w:right w:val="nil"/>
            </w:tcBorders>
            <w:shd w:val="clear" w:color="auto" w:fill="auto"/>
            <w:noWrap/>
            <w:vAlign w:val="center"/>
            <w:hideMark/>
          </w:tcPr>
          <w:p w14:paraId="1F87334C"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&lt; 5</w:t>
            </w:r>
            <w:r w:rsidR="001E33DA">
              <w:rPr>
                <w:rFonts w:eastAsia="Times New Roman" w:cstheme="minorHAnsi"/>
                <w:color w:val="000000"/>
              </w:rPr>
              <w:t xml:space="preserve"> day</w:t>
            </w:r>
          </w:p>
        </w:tc>
        <w:tc>
          <w:tcPr>
            <w:tcW w:w="2551" w:type="dxa"/>
            <w:tcBorders>
              <w:top w:val="nil"/>
              <w:left w:val="nil"/>
              <w:bottom w:val="nil"/>
              <w:right w:val="nil"/>
            </w:tcBorders>
            <w:shd w:val="clear" w:color="auto" w:fill="auto"/>
            <w:noWrap/>
            <w:vAlign w:val="center"/>
            <w:hideMark/>
          </w:tcPr>
          <w:p w14:paraId="20C7B012" w14:textId="77777777" w:rsidR="00154427" w:rsidRPr="00830BAD" w:rsidRDefault="00154427" w:rsidP="00D15ADE">
            <w:pPr>
              <w:spacing w:after="0" w:line="240" w:lineRule="auto"/>
              <w:jc w:val="center"/>
              <w:rPr>
                <w:rFonts w:eastAsia="Times New Roman" w:cstheme="minorHAnsi"/>
                <w:color w:val="000000"/>
              </w:rPr>
            </w:pPr>
            <w:r w:rsidRPr="00830BAD">
              <w:rPr>
                <w:rFonts w:eastAsia="Times New Roman" w:cstheme="minorHAnsi"/>
                <w:color w:val="000000"/>
              </w:rPr>
              <w:t>19</w:t>
            </w:r>
          </w:p>
        </w:tc>
        <w:tc>
          <w:tcPr>
            <w:tcW w:w="1843" w:type="dxa"/>
            <w:tcBorders>
              <w:top w:val="nil"/>
              <w:left w:val="nil"/>
              <w:bottom w:val="nil"/>
              <w:right w:val="nil"/>
            </w:tcBorders>
            <w:shd w:val="clear" w:color="auto" w:fill="auto"/>
            <w:noWrap/>
            <w:vAlign w:val="center"/>
            <w:hideMark/>
          </w:tcPr>
          <w:p w14:paraId="27BA64A1" w14:textId="1283F950" w:rsidR="00154427" w:rsidRPr="00830BAD" w:rsidRDefault="00154427" w:rsidP="00D15ADE">
            <w:pPr>
              <w:spacing w:after="0" w:line="240" w:lineRule="auto"/>
              <w:jc w:val="center"/>
              <w:rPr>
                <w:rFonts w:eastAsia="Times New Roman" w:cstheme="minorHAnsi"/>
                <w:color w:val="000000"/>
              </w:rPr>
            </w:pPr>
            <w:r w:rsidRPr="00830BAD">
              <w:rPr>
                <w:rFonts w:eastAsia="Times New Roman" w:cstheme="minorHAnsi"/>
                <w:color w:val="000000"/>
              </w:rPr>
              <w:t>14</w:t>
            </w:r>
            <w:r w:rsidR="007121FD">
              <w:rPr>
                <w:rFonts w:eastAsia="Times New Roman" w:cstheme="minorHAnsi"/>
                <w:color w:val="000000"/>
              </w:rPr>
              <w:t>.</w:t>
            </w:r>
            <w:r w:rsidRPr="00830BAD">
              <w:rPr>
                <w:rFonts w:eastAsia="Times New Roman" w:cstheme="minorHAnsi"/>
                <w:color w:val="000000"/>
              </w:rPr>
              <w:t>9</w:t>
            </w:r>
          </w:p>
        </w:tc>
      </w:tr>
      <w:tr w:rsidR="00154427" w:rsidRPr="00830BAD" w14:paraId="13CB0CC2" w14:textId="77777777" w:rsidTr="00D71C1E">
        <w:trPr>
          <w:trHeight w:val="300"/>
        </w:trPr>
        <w:tc>
          <w:tcPr>
            <w:tcW w:w="709" w:type="dxa"/>
            <w:tcBorders>
              <w:top w:val="nil"/>
              <w:left w:val="nil"/>
              <w:bottom w:val="nil"/>
              <w:right w:val="nil"/>
            </w:tcBorders>
            <w:shd w:val="clear" w:color="auto" w:fill="auto"/>
            <w:noWrap/>
            <w:vAlign w:val="center"/>
            <w:hideMark/>
          </w:tcPr>
          <w:p w14:paraId="5941B2B1" w14:textId="77777777" w:rsidR="00154427" w:rsidRPr="00830BAD" w:rsidRDefault="00154427" w:rsidP="00830BAD">
            <w:pPr>
              <w:spacing w:after="0" w:line="240" w:lineRule="auto"/>
              <w:jc w:val="both"/>
              <w:rPr>
                <w:rFonts w:eastAsia="Times New Roman" w:cstheme="minorHAnsi"/>
                <w:color w:val="000000"/>
              </w:rPr>
            </w:pPr>
          </w:p>
        </w:tc>
        <w:tc>
          <w:tcPr>
            <w:tcW w:w="2552" w:type="dxa"/>
            <w:tcBorders>
              <w:top w:val="nil"/>
              <w:left w:val="nil"/>
              <w:bottom w:val="nil"/>
              <w:right w:val="nil"/>
            </w:tcBorders>
            <w:shd w:val="clear" w:color="auto" w:fill="auto"/>
            <w:noWrap/>
            <w:vAlign w:val="center"/>
            <w:hideMark/>
          </w:tcPr>
          <w:p w14:paraId="48712138" w14:textId="77777777" w:rsidR="00154427" w:rsidRPr="00830BAD" w:rsidRDefault="001E33DA" w:rsidP="00830BAD">
            <w:pPr>
              <w:spacing w:after="0" w:line="240" w:lineRule="auto"/>
              <w:jc w:val="both"/>
              <w:rPr>
                <w:rFonts w:eastAsia="Times New Roman" w:cstheme="minorHAnsi"/>
                <w:color w:val="000000"/>
              </w:rPr>
            </w:pPr>
            <w:r>
              <w:rPr>
                <w:rFonts w:eastAsia="Times New Roman" w:cstheme="minorHAnsi"/>
                <w:color w:val="000000"/>
              </w:rPr>
              <w:t>5 - 7 day</w:t>
            </w:r>
          </w:p>
        </w:tc>
        <w:tc>
          <w:tcPr>
            <w:tcW w:w="2551" w:type="dxa"/>
            <w:tcBorders>
              <w:top w:val="nil"/>
              <w:left w:val="nil"/>
              <w:bottom w:val="nil"/>
              <w:right w:val="nil"/>
            </w:tcBorders>
            <w:shd w:val="clear" w:color="auto" w:fill="auto"/>
            <w:noWrap/>
            <w:vAlign w:val="center"/>
            <w:hideMark/>
          </w:tcPr>
          <w:p w14:paraId="371430EB" w14:textId="77777777" w:rsidR="00154427" w:rsidRPr="00830BAD" w:rsidRDefault="00154427" w:rsidP="00D15ADE">
            <w:pPr>
              <w:spacing w:after="0" w:line="240" w:lineRule="auto"/>
              <w:jc w:val="center"/>
              <w:rPr>
                <w:rFonts w:eastAsia="Times New Roman" w:cstheme="minorHAnsi"/>
                <w:color w:val="000000"/>
              </w:rPr>
            </w:pPr>
            <w:r w:rsidRPr="00830BAD">
              <w:rPr>
                <w:rFonts w:eastAsia="Times New Roman" w:cstheme="minorHAnsi"/>
                <w:color w:val="000000"/>
              </w:rPr>
              <w:t>89</w:t>
            </w:r>
          </w:p>
        </w:tc>
        <w:tc>
          <w:tcPr>
            <w:tcW w:w="1843" w:type="dxa"/>
            <w:tcBorders>
              <w:top w:val="nil"/>
              <w:left w:val="nil"/>
              <w:bottom w:val="nil"/>
              <w:right w:val="nil"/>
            </w:tcBorders>
            <w:shd w:val="clear" w:color="auto" w:fill="auto"/>
            <w:noWrap/>
            <w:vAlign w:val="center"/>
            <w:hideMark/>
          </w:tcPr>
          <w:p w14:paraId="1CA57D77" w14:textId="448A2AA8" w:rsidR="00154427" w:rsidRPr="00830BAD" w:rsidRDefault="007121FD" w:rsidP="00D15ADE">
            <w:pPr>
              <w:spacing w:after="0" w:line="240" w:lineRule="auto"/>
              <w:jc w:val="center"/>
              <w:rPr>
                <w:rFonts w:eastAsia="Times New Roman" w:cstheme="minorHAnsi"/>
                <w:color w:val="000000"/>
              </w:rPr>
            </w:pPr>
            <w:r>
              <w:rPr>
                <w:rFonts w:eastAsia="Times New Roman" w:cstheme="minorHAnsi"/>
                <w:color w:val="000000"/>
              </w:rPr>
              <w:t>69.</w:t>
            </w:r>
            <w:r w:rsidR="00154427" w:rsidRPr="00830BAD">
              <w:rPr>
                <w:rFonts w:eastAsia="Times New Roman" w:cstheme="minorHAnsi"/>
                <w:color w:val="000000"/>
              </w:rPr>
              <w:t>5</w:t>
            </w:r>
          </w:p>
        </w:tc>
      </w:tr>
      <w:tr w:rsidR="00154427" w:rsidRPr="00830BAD" w14:paraId="6C85D293" w14:textId="77777777" w:rsidTr="00D71C1E">
        <w:trPr>
          <w:trHeight w:val="300"/>
        </w:trPr>
        <w:tc>
          <w:tcPr>
            <w:tcW w:w="709" w:type="dxa"/>
            <w:tcBorders>
              <w:top w:val="nil"/>
              <w:left w:val="nil"/>
              <w:bottom w:val="single" w:sz="4" w:space="0" w:color="auto"/>
              <w:right w:val="nil"/>
            </w:tcBorders>
            <w:shd w:val="clear" w:color="auto" w:fill="auto"/>
            <w:noWrap/>
            <w:vAlign w:val="center"/>
            <w:hideMark/>
          </w:tcPr>
          <w:p w14:paraId="6FB52FBD"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 </w:t>
            </w:r>
          </w:p>
        </w:tc>
        <w:tc>
          <w:tcPr>
            <w:tcW w:w="2552" w:type="dxa"/>
            <w:tcBorders>
              <w:top w:val="nil"/>
              <w:left w:val="nil"/>
              <w:bottom w:val="single" w:sz="4" w:space="0" w:color="auto"/>
              <w:right w:val="nil"/>
            </w:tcBorders>
            <w:shd w:val="clear" w:color="auto" w:fill="auto"/>
            <w:noWrap/>
            <w:vAlign w:val="center"/>
            <w:hideMark/>
          </w:tcPr>
          <w:p w14:paraId="14F54785" w14:textId="77777777" w:rsidR="00154427" w:rsidRPr="00830BAD" w:rsidRDefault="001E33DA" w:rsidP="00830BAD">
            <w:pPr>
              <w:spacing w:after="0" w:line="240" w:lineRule="auto"/>
              <w:jc w:val="both"/>
              <w:rPr>
                <w:rFonts w:eastAsia="Times New Roman" w:cstheme="minorHAnsi"/>
                <w:color w:val="000000"/>
              </w:rPr>
            </w:pPr>
            <w:r>
              <w:rPr>
                <w:rFonts w:eastAsia="Times New Roman" w:cstheme="minorHAnsi"/>
                <w:color w:val="000000"/>
              </w:rPr>
              <w:t>7 - 14 day</w:t>
            </w:r>
          </w:p>
        </w:tc>
        <w:tc>
          <w:tcPr>
            <w:tcW w:w="2551" w:type="dxa"/>
            <w:tcBorders>
              <w:top w:val="nil"/>
              <w:left w:val="nil"/>
              <w:bottom w:val="single" w:sz="4" w:space="0" w:color="auto"/>
              <w:right w:val="nil"/>
            </w:tcBorders>
            <w:shd w:val="clear" w:color="auto" w:fill="auto"/>
            <w:noWrap/>
            <w:vAlign w:val="center"/>
            <w:hideMark/>
          </w:tcPr>
          <w:p w14:paraId="20C5757C" w14:textId="77777777" w:rsidR="00154427" w:rsidRPr="00830BAD" w:rsidRDefault="00154427" w:rsidP="00D15ADE">
            <w:pPr>
              <w:spacing w:after="0" w:line="240" w:lineRule="auto"/>
              <w:jc w:val="center"/>
              <w:rPr>
                <w:rFonts w:eastAsia="Times New Roman" w:cstheme="minorHAnsi"/>
                <w:color w:val="000000"/>
              </w:rPr>
            </w:pPr>
            <w:r w:rsidRPr="00830BAD">
              <w:rPr>
                <w:rFonts w:eastAsia="Times New Roman" w:cstheme="minorHAnsi"/>
                <w:color w:val="000000"/>
              </w:rPr>
              <w:t>20</w:t>
            </w:r>
          </w:p>
        </w:tc>
        <w:tc>
          <w:tcPr>
            <w:tcW w:w="1843" w:type="dxa"/>
            <w:tcBorders>
              <w:top w:val="nil"/>
              <w:left w:val="nil"/>
              <w:bottom w:val="single" w:sz="4" w:space="0" w:color="auto"/>
              <w:right w:val="nil"/>
            </w:tcBorders>
            <w:shd w:val="clear" w:color="auto" w:fill="auto"/>
            <w:noWrap/>
            <w:vAlign w:val="center"/>
            <w:hideMark/>
          </w:tcPr>
          <w:p w14:paraId="5238EA6A" w14:textId="1104D58A" w:rsidR="00154427" w:rsidRPr="00830BAD" w:rsidRDefault="007121FD" w:rsidP="00D15ADE">
            <w:pPr>
              <w:spacing w:after="0" w:line="240" w:lineRule="auto"/>
              <w:jc w:val="center"/>
              <w:rPr>
                <w:rFonts w:eastAsia="Times New Roman" w:cstheme="minorHAnsi"/>
                <w:color w:val="000000"/>
              </w:rPr>
            </w:pPr>
            <w:r>
              <w:rPr>
                <w:rFonts w:eastAsia="Times New Roman" w:cstheme="minorHAnsi"/>
                <w:color w:val="000000"/>
              </w:rPr>
              <w:t>15.</w:t>
            </w:r>
            <w:r w:rsidR="00154427" w:rsidRPr="00830BAD">
              <w:rPr>
                <w:rFonts w:eastAsia="Times New Roman" w:cstheme="minorHAnsi"/>
                <w:color w:val="000000"/>
              </w:rPr>
              <w:t>6</w:t>
            </w:r>
          </w:p>
        </w:tc>
      </w:tr>
    </w:tbl>
    <w:p w14:paraId="64EC4B15" w14:textId="77777777" w:rsidR="00A6343D" w:rsidRPr="00830BAD" w:rsidRDefault="003F0BFF" w:rsidP="00D71C1E">
      <w:pPr>
        <w:tabs>
          <w:tab w:val="left" w:pos="284"/>
          <w:tab w:val="left" w:pos="567"/>
        </w:tabs>
        <w:suppressAutoHyphens/>
        <w:spacing w:after="0" w:line="240" w:lineRule="auto"/>
        <w:jc w:val="both"/>
        <w:rPr>
          <w:rFonts w:cstheme="minorHAnsi"/>
          <w:b/>
          <w:i/>
          <w:color w:val="000000" w:themeColor="text1"/>
        </w:rPr>
      </w:pPr>
      <w:r w:rsidRPr="00830BAD">
        <w:rPr>
          <w:rFonts w:cstheme="minorHAnsi"/>
          <w:b/>
          <w:i/>
          <w:color w:val="000000" w:themeColor="text1"/>
        </w:rPr>
        <w:t>Source: Primary Data year 2020</w:t>
      </w:r>
    </w:p>
    <w:p w14:paraId="3AFA859A" w14:textId="77777777" w:rsidR="00C465DA" w:rsidRDefault="00C465DA" w:rsidP="00B02152">
      <w:pPr>
        <w:tabs>
          <w:tab w:val="left" w:pos="284"/>
          <w:tab w:val="left" w:pos="567"/>
        </w:tabs>
        <w:suppressAutoHyphens/>
        <w:spacing w:after="0" w:line="240" w:lineRule="auto"/>
        <w:jc w:val="both"/>
        <w:rPr>
          <w:rFonts w:cstheme="minorHAnsi"/>
          <w:lang w:val="en"/>
        </w:rPr>
      </w:pPr>
    </w:p>
    <w:p w14:paraId="7B571215" w14:textId="58927A6B" w:rsidR="00500CED" w:rsidRDefault="00500CED" w:rsidP="00B02152">
      <w:pPr>
        <w:tabs>
          <w:tab w:val="left" w:pos="284"/>
          <w:tab w:val="left" w:pos="567"/>
        </w:tabs>
        <w:suppressAutoHyphens/>
        <w:spacing w:after="0" w:line="240" w:lineRule="auto"/>
        <w:jc w:val="both"/>
        <w:rPr>
          <w:rFonts w:cstheme="minorHAnsi"/>
          <w:lang w:val="en"/>
        </w:rPr>
      </w:pPr>
      <w:r>
        <w:rPr>
          <w:rFonts w:cstheme="minorHAnsi"/>
          <w:lang w:val="en"/>
        </w:rPr>
        <w:tab/>
      </w:r>
      <w:r w:rsidRPr="00500CED">
        <w:rPr>
          <w:rFonts w:cstheme="minorHAnsi"/>
          <w:lang w:val="en"/>
        </w:rPr>
        <w:t xml:space="preserve">The majority of respondents were 16 years old with menstrual cycles </w:t>
      </w:r>
      <w:r w:rsidR="003446E1">
        <w:rPr>
          <w:rFonts w:cstheme="minorHAnsi"/>
          <w:lang w:val="en"/>
        </w:rPr>
        <w:t xml:space="preserve">of </w:t>
      </w:r>
      <w:r w:rsidRPr="00500CED">
        <w:rPr>
          <w:rFonts w:cstheme="minorHAnsi"/>
          <w:lang w:val="en"/>
        </w:rPr>
        <w:t>21-35 weeks and menstrual periods</w:t>
      </w:r>
      <w:r w:rsidR="00285506">
        <w:rPr>
          <w:rFonts w:cstheme="minorHAnsi"/>
          <w:lang w:val="en"/>
        </w:rPr>
        <w:t xml:space="preserve"> of</w:t>
      </w:r>
      <w:r w:rsidRPr="00500CED">
        <w:rPr>
          <w:rFonts w:cstheme="minorHAnsi"/>
          <w:lang w:val="en"/>
        </w:rPr>
        <w:t xml:space="preserve"> 5-7 days (table 1).</w:t>
      </w:r>
    </w:p>
    <w:p w14:paraId="565DA9FC" w14:textId="066F2D99" w:rsidR="00B02152" w:rsidRPr="00830BAD" w:rsidRDefault="000F42B2" w:rsidP="00B02152">
      <w:pPr>
        <w:tabs>
          <w:tab w:val="left" w:pos="284"/>
          <w:tab w:val="left" w:pos="567"/>
        </w:tabs>
        <w:suppressAutoHyphens/>
        <w:spacing w:after="0" w:line="240" w:lineRule="auto"/>
        <w:jc w:val="both"/>
        <w:rPr>
          <w:rFonts w:cstheme="minorHAnsi"/>
          <w:b/>
          <w:i/>
          <w:color w:val="000000" w:themeColor="text1"/>
        </w:rPr>
      </w:pPr>
      <w:r>
        <w:rPr>
          <w:rFonts w:cstheme="minorHAnsi"/>
          <w:lang w:val="en"/>
        </w:rPr>
        <w:tab/>
      </w:r>
      <w:r w:rsidR="00B02152" w:rsidRPr="004E02D7">
        <w:rPr>
          <w:rFonts w:cstheme="minorHAnsi"/>
          <w:lang w:val="en"/>
        </w:rPr>
        <w:t>Most respondents have less intake of macronutrients (carbohydrates, protein, fat). Most respondents have moderate stress levels,</w:t>
      </w:r>
      <w:r w:rsidR="003446E1">
        <w:rPr>
          <w:rFonts w:cstheme="minorHAnsi"/>
          <w:lang w:val="en"/>
        </w:rPr>
        <w:t xml:space="preserve"> and</w:t>
      </w:r>
      <w:r w:rsidR="00B02152" w:rsidRPr="004E02D7">
        <w:rPr>
          <w:rFonts w:cstheme="minorHAnsi"/>
          <w:lang w:val="en"/>
        </w:rPr>
        <w:t xml:space="preserve"> respondents have the lowest levels of prostaglandins. The number of respondents who experienced dysmenorrhea was 64 people and not </w:t>
      </w:r>
      <w:r w:rsidR="00B02152">
        <w:rPr>
          <w:rFonts w:cstheme="minorHAnsi"/>
          <w:lang w:val="en"/>
        </w:rPr>
        <w:t xml:space="preserve">dysmenorrhea 64 people (table </w:t>
      </w:r>
      <w:r w:rsidR="00B02152" w:rsidRPr="004E02D7">
        <w:rPr>
          <w:rFonts w:cstheme="minorHAnsi"/>
          <w:lang w:val="en"/>
        </w:rPr>
        <w:t>2)</w:t>
      </w:r>
      <w:r w:rsidR="00B02152">
        <w:rPr>
          <w:rFonts w:cstheme="minorHAnsi"/>
          <w:lang w:val="en"/>
        </w:rPr>
        <w:t>.</w:t>
      </w:r>
    </w:p>
    <w:p w14:paraId="0FAD7884" w14:textId="318D4B42" w:rsidR="004C5AB6" w:rsidRPr="00830BAD" w:rsidRDefault="004C5AB6" w:rsidP="00E23479">
      <w:pPr>
        <w:spacing w:after="0" w:line="240" w:lineRule="auto"/>
        <w:jc w:val="both"/>
        <w:rPr>
          <w:rFonts w:cstheme="minorHAnsi"/>
          <w:b/>
          <w:i/>
          <w:color w:val="000000" w:themeColor="text1"/>
        </w:rPr>
      </w:pPr>
    </w:p>
    <w:tbl>
      <w:tblPr>
        <w:tblW w:w="7513" w:type="dxa"/>
        <w:tblLook w:val="04A0" w:firstRow="1" w:lastRow="0" w:firstColumn="1" w:lastColumn="0" w:noHBand="0" w:noVBand="1"/>
      </w:tblPr>
      <w:tblGrid>
        <w:gridCol w:w="480"/>
        <w:gridCol w:w="3348"/>
        <w:gridCol w:w="1842"/>
        <w:gridCol w:w="1843"/>
      </w:tblGrid>
      <w:tr w:rsidR="00EB16CD" w:rsidRPr="00830BAD" w14:paraId="2FFA4004" w14:textId="77777777" w:rsidTr="00FF3895">
        <w:trPr>
          <w:trHeight w:val="300"/>
        </w:trPr>
        <w:tc>
          <w:tcPr>
            <w:tcW w:w="7513" w:type="dxa"/>
            <w:gridSpan w:val="4"/>
            <w:tcBorders>
              <w:top w:val="single" w:sz="4" w:space="0" w:color="auto"/>
              <w:left w:val="nil"/>
              <w:bottom w:val="single" w:sz="4" w:space="0" w:color="auto"/>
              <w:right w:val="nil"/>
            </w:tcBorders>
            <w:shd w:val="clear" w:color="auto" w:fill="auto"/>
            <w:noWrap/>
            <w:vAlign w:val="center"/>
            <w:hideMark/>
          </w:tcPr>
          <w:p w14:paraId="0CF50CD7" w14:textId="0C8A8F8B" w:rsidR="00EB16CD" w:rsidRPr="00830BAD" w:rsidRDefault="007A79F8" w:rsidP="008F54D8">
            <w:pPr>
              <w:spacing w:after="0" w:line="240" w:lineRule="auto"/>
              <w:jc w:val="both"/>
              <w:rPr>
                <w:rFonts w:eastAsia="Times New Roman" w:cstheme="minorHAnsi"/>
                <w:b/>
                <w:bCs/>
                <w:color w:val="000000"/>
              </w:rPr>
            </w:pPr>
            <w:r>
              <w:rPr>
                <w:rFonts w:eastAsia="Times New Roman" w:cstheme="minorHAnsi"/>
                <w:b/>
                <w:bCs/>
                <w:color w:val="000000"/>
              </w:rPr>
              <w:t xml:space="preserve">Table </w:t>
            </w:r>
            <w:r w:rsidR="00A6343D" w:rsidRPr="00830BAD">
              <w:rPr>
                <w:rFonts w:eastAsia="Times New Roman" w:cstheme="minorHAnsi"/>
                <w:b/>
                <w:bCs/>
                <w:color w:val="000000"/>
              </w:rPr>
              <w:t>2</w:t>
            </w:r>
            <w:r w:rsidR="00A6343D" w:rsidRPr="00830BAD">
              <w:rPr>
                <w:rFonts w:eastAsia="Times New Roman" w:cstheme="minorHAnsi"/>
                <w:bCs/>
                <w:color w:val="000000"/>
              </w:rPr>
              <w:t xml:space="preserve"> V</w:t>
            </w:r>
            <w:r w:rsidR="00C17085">
              <w:rPr>
                <w:rFonts w:eastAsia="Times New Roman" w:cstheme="minorHAnsi"/>
                <w:bCs/>
                <w:color w:val="000000"/>
              </w:rPr>
              <w:t>ariable Case Group and Control S</w:t>
            </w:r>
            <w:r w:rsidR="00A6343D" w:rsidRPr="00830BAD">
              <w:rPr>
                <w:rFonts w:eastAsia="Times New Roman" w:cstheme="minorHAnsi"/>
                <w:bCs/>
                <w:color w:val="000000"/>
              </w:rPr>
              <w:t xml:space="preserve">tudy on </w:t>
            </w:r>
            <w:r w:rsidR="008F54D8">
              <w:rPr>
                <w:rFonts w:eastAsia="Times New Roman" w:cstheme="minorHAnsi"/>
                <w:bCs/>
                <w:color w:val="000000"/>
              </w:rPr>
              <w:t xml:space="preserve">High Junior School </w:t>
            </w:r>
            <w:r w:rsidR="00A6343D" w:rsidRPr="00830BAD">
              <w:rPr>
                <w:rFonts w:eastAsia="Times New Roman" w:cstheme="minorHAnsi"/>
                <w:bCs/>
                <w:color w:val="000000"/>
              </w:rPr>
              <w:t>21 Makassar</w:t>
            </w:r>
            <w:r w:rsidR="009E2614">
              <w:rPr>
                <w:rFonts w:eastAsia="Times New Roman" w:cstheme="minorHAnsi"/>
                <w:bCs/>
                <w:color w:val="000000"/>
              </w:rPr>
              <w:t>.</w:t>
            </w:r>
          </w:p>
        </w:tc>
      </w:tr>
      <w:tr w:rsidR="00EB16CD" w:rsidRPr="00830BAD" w14:paraId="008F408D" w14:textId="77777777" w:rsidTr="00372B69">
        <w:trPr>
          <w:trHeight w:val="300"/>
        </w:trPr>
        <w:tc>
          <w:tcPr>
            <w:tcW w:w="480" w:type="dxa"/>
            <w:tcBorders>
              <w:top w:val="nil"/>
              <w:left w:val="nil"/>
              <w:bottom w:val="single" w:sz="4" w:space="0" w:color="auto"/>
              <w:right w:val="nil"/>
            </w:tcBorders>
            <w:shd w:val="clear" w:color="auto" w:fill="auto"/>
            <w:noWrap/>
            <w:vAlign w:val="center"/>
          </w:tcPr>
          <w:p w14:paraId="2E769DDD" w14:textId="0556490A" w:rsidR="00EB16CD" w:rsidRPr="00830BAD" w:rsidRDefault="00EB16CD" w:rsidP="00830BAD">
            <w:pPr>
              <w:spacing w:after="0" w:line="240" w:lineRule="auto"/>
              <w:jc w:val="both"/>
              <w:rPr>
                <w:rFonts w:eastAsia="Times New Roman" w:cstheme="minorHAnsi"/>
                <w:b/>
                <w:bCs/>
                <w:color w:val="000000"/>
              </w:rPr>
            </w:pPr>
          </w:p>
        </w:tc>
        <w:tc>
          <w:tcPr>
            <w:tcW w:w="3348" w:type="dxa"/>
            <w:tcBorders>
              <w:top w:val="nil"/>
              <w:left w:val="nil"/>
              <w:bottom w:val="single" w:sz="4" w:space="0" w:color="auto"/>
              <w:right w:val="nil"/>
            </w:tcBorders>
            <w:shd w:val="clear" w:color="auto" w:fill="auto"/>
            <w:noWrap/>
            <w:vAlign w:val="center"/>
            <w:hideMark/>
          </w:tcPr>
          <w:p w14:paraId="1792FAE8" w14:textId="77777777" w:rsidR="00EB16CD" w:rsidRPr="00830BAD" w:rsidRDefault="00A6343D" w:rsidP="00C17085">
            <w:pPr>
              <w:spacing w:after="0" w:line="240" w:lineRule="auto"/>
              <w:jc w:val="center"/>
              <w:rPr>
                <w:rFonts w:eastAsia="Times New Roman" w:cstheme="minorHAnsi"/>
                <w:b/>
                <w:bCs/>
                <w:color w:val="000000"/>
              </w:rPr>
            </w:pPr>
            <w:r w:rsidRPr="00830BAD">
              <w:rPr>
                <w:rFonts w:eastAsia="Times New Roman" w:cstheme="minorHAnsi"/>
                <w:b/>
                <w:bCs/>
                <w:color w:val="000000"/>
              </w:rPr>
              <w:t>Variable</w:t>
            </w:r>
          </w:p>
        </w:tc>
        <w:tc>
          <w:tcPr>
            <w:tcW w:w="1842" w:type="dxa"/>
            <w:tcBorders>
              <w:top w:val="nil"/>
              <w:left w:val="nil"/>
              <w:bottom w:val="single" w:sz="4" w:space="0" w:color="auto"/>
              <w:right w:val="nil"/>
            </w:tcBorders>
            <w:shd w:val="clear" w:color="auto" w:fill="auto"/>
            <w:noWrap/>
            <w:vAlign w:val="center"/>
            <w:hideMark/>
          </w:tcPr>
          <w:p w14:paraId="7CB06507" w14:textId="77777777" w:rsidR="00EB16CD" w:rsidRPr="00830BAD" w:rsidRDefault="00EB16CD" w:rsidP="00C03D1B">
            <w:pPr>
              <w:spacing w:after="0" w:line="240" w:lineRule="auto"/>
              <w:rPr>
                <w:rFonts w:eastAsia="Times New Roman" w:cstheme="minorHAnsi"/>
                <w:b/>
                <w:bCs/>
                <w:color w:val="000000"/>
              </w:rPr>
            </w:pPr>
            <w:r w:rsidRPr="00830BAD">
              <w:rPr>
                <w:rFonts w:eastAsia="Times New Roman" w:cstheme="minorHAnsi"/>
                <w:b/>
                <w:bCs/>
                <w:color w:val="000000"/>
              </w:rPr>
              <w:t>n = 128</w:t>
            </w:r>
          </w:p>
        </w:tc>
        <w:tc>
          <w:tcPr>
            <w:tcW w:w="1843" w:type="dxa"/>
            <w:tcBorders>
              <w:top w:val="nil"/>
              <w:left w:val="nil"/>
              <w:bottom w:val="single" w:sz="4" w:space="0" w:color="auto"/>
              <w:right w:val="nil"/>
            </w:tcBorders>
            <w:shd w:val="clear" w:color="auto" w:fill="auto"/>
            <w:noWrap/>
            <w:vAlign w:val="center"/>
            <w:hideMark/>
          </w:tcPr>
          <w:p w14:paraId="1620BA14" w14:textId="77777777" w:rsidR="00EB16CD" w:rsidRPr="00830BAD" w:rsidRDefault="00EB16CD" w:rsidP="00C03D1B">
            <w:pPr>
              <w:spacing w:after="0" w:line="240" w:lineRule="auto"/>
              <w:rPr>
                <w:rFonts w:eastAsia="Times New Roman" w:cstheme="minorHAnsi"/>
                <w:b/>
                <w:bCs/>
                <w:color w:val="000000"/>
              </w:rPr>
            </w:pPr>
            <w:r w:rsidRPr="00830BAD">
              <w:rPr>
                <w:rFonts w:eastAsia="Times New Roman" w:cstheme="minorHAnsi"/>
                <w:b/>
                <w:bCs/>
                <w:color w:val="000000"/>
              </w:rPr>
              <w:t>%</w:t>
            </w:r>
          </w:p>
        </w:tc>
      </w:tr>
      <w:tr w:rsidR="00EB16CD" w:rsidRPr="00830BAD" w14:paraId="1E968376" w14:textId="77777777" w:rsidTr="00372B69">
        <w:trPr>
          <w:trHeight w:val="300"/>
        </w:trPr>
        <w:tc>
          <w:tcPr>
            <w:tcW w:w="480" w:type="dxa"/>
            <w:tcBorders>
              <w:top w:val="nil"/>
              <w:left w:val="nil"/>
              <w:bottom w:val="nil"/>
              <w:right w:val="nil"/>
            </w:tcBorders>
            <w:shd w:val="clear" w:color="auto" w:fill="auto"/>
            <w:noWrap/>
            <w:vAlign w:val="center"/>
          </w:tcPr>
          <w:p w14:paraId="12AC05F1" w14:textId="5A3CC9A4" w:rsidR="00EB16CD" w:rsidRPr="00830BAD" w:rsidRDefault="00EB16CD" w:rsidP="00830BAD">
            <w:pPr>
              <w:spacing w:after="0" w:line="240" w:lineRule="auto"/>
              <w:jc w:val="both"/>
              <w:rPr>
                <w:rFonts w:eastAsia="Times New Roman" w:cstheme="minorHAnsi"/>
                <w:b/>
                <w:bCs/>
                <w:color w:val="000000"/>
              </w:rPr>
            </w:pPr>
          </w:p>
        </w:tc>
        <w:tc>
          <w:tcPr>
            <w:tcW w:w="7033" w:type="dxa"/>
            <w:gridSpan w:val="3"/>
            <w:tcBorders>
              <w:top w:val="nil"/>
              <w:left w:val="nil"/>
              <w:bottom w:val="nil"/>
              <w:right w:val="nil"/>
            </w:tcBorders>
            <w:shd w:val="clear" w:color="auto" w:fill="auto"/>
            <w:noWrap/>
            <w:vAlign w:val="center"/>
            <w:hideMark/>
          </w:tcPr>
          <w:p w14:paraId="6C6CA22D" w14:textId="77777777" w:rsidR="00EB16CD" w:rsidRPr="00830BAD" w:rsidRDefault="00A6343D" w:rsidP="000E6965">
            <w:pPr>
              <w:spacing w:after="0" w:line="240" w:lineRule="auto"/>
              <w:jc w:val="both"/>
              <w:rPr>
                <w:rFonts w:eastAsia="Times New Roman" w:cstheme="minorHAnsi"/>
                <w:b/>
                <w:bCs/>
                <w:color w:val="000000"/>
              </w:rPr>
            </w:pPr>
            <w:r w:rsidRPr="00830BAD">
              <w:rPr>
                <w:rFonts w:eastAsia="Times New Roman" w:cstheme="minorHAnsi"/>
                <w:b/>
                <w:bCs/>
                <w:color w:val="000000"/>
              </w:rPr>
              <w:t>Ma</w:t>
            </w:r>
            <w:r w:rsidR="000E6965">
              <w:rPr>
                <w:rFonts w:eastAsia="Times New Roman" w:cstheme="minorHAnsi"/>
                <w:b/>
                <w:bCs/>
                <w:color w:val="000000"/>
              </w:rPr>
              <w:t>c</w:t>
            </w:r>
            <w:r w:rsidRPr="00830BAD">
              <w:rPr>
                <w:rFonts w:eastAsia="Times New Roman" w:cstheme="minorHAnsi"/>
                <w:b/>
                <w:bCs/>
                <w:color w:val="000000"/>
              </w:rPr>
              <w:t>ronutrient Intake</w:t>
            </w:r>
          </w:p>
        </w:tc>
      </w:tr>
      <w:tr w:rsidR="00EB16CD" w:rsidRPr="00830BAD" w14:paraId="3890EA8A" w14:textId="77777777" w:rsidTr="00372B69">
        <w:trPr>
          <w:trHeight w:val="300"/>
        </w:trPr>
        <w:tc>
          <w:tcPr>
            <w:tcW w:w="480" w:type="dxa"/>
            <w:tcBorders>
              <w:top w:val="nil"/>
              <w:left w:val="nil"/>
              <w:bottom w:val="nil"/>
              <w:right w:val="nil"/>
            </w:tcBorders>
            <w:shd w:val="clear" w:color="auto" w:fill="auto"/>
            <w:noWrap/>
            <w:vAlign w:val="center"/>
          </w:tcPr>
          <w:p w14:paraId="0F3DFF57" w14:textId="77777777" w:rsidR="00EB16CD" w:rsidRPr="00830BAD" w:rsidRDefault="00EB16CD" w:rsidP="00830BAD">
            <w:pPr>
              <w:spacing w:after="0" w:line="240" w:lineRule="auto"/>
              <w:jc w:val="both"/>
              <w:rPr>
                <w:rFonts w:eastAsia="Times New Roman" w:cstheme="minorHAnsi"/>
                <w:b/>
                <w:bCs/>
                <w:color w:val="000000"/>
              </w:rPr>
            </w:pPr>
          </w:p>
        </w:tc>
        <w:tc>
          <w:tcPr>
            <w:tcW w:w="5190" w:type="dxa"/>
            <w:gridSpan w:val="2"/>
            <w:tcBorders>
              <w:top w:val="nil"/>
              <w:left w:val="nil"/>
              <w:bottom w:val="nil"/>
              <w:right w:val="nil"/>
            </w:tcBorders>
            <w:shd w:val="clear" w:color="auto" w:fill="auto"/>
            <w:noWrap/>
            <w:vAlign w:val="center"/>
            <w:hideMark/>
          </w:tcPr>
          <w:p w14:paraId="58796C4B" w14:textId="77777777" w:rsidR="00EB16CD" w:rsidRPr="00830BAD" w:rsidRDefault="00EB16CD" w:rsidP="00830BAD">
            <w:pPr>
              <w:spacing w:after="0" w:line="240" w:lineRule="auto"/>
              <w:jc w:val="both"/>
              <w:rPr>
                <w:rFonts w:eastAsia="Times New Roman" w:cstheme="minorHAnsi"/>
                <w:b/>
                <w:bCs/>
                <w:color w:val="000000"/>
              </w:rPr>
            </w:pPr>
            <w:r w:rsidRPr="00830BAD">
              <w:rPr>
                <w:rFonts w:eastAsia="Times New Roman" w:cstheme="minorHAnsi"/>
                <w:color w:val="000000"/>
                <w:lang w:val="en-GB"/>
              </w:rPr>
              <w:t xml:space="preserve">a.  </w:t>
            </w:r>
            <w:r w:rsidR="00A6343D" w:rsidRPr="00830BAD">
              <w:rPr>
                <w:rFonts w:eastAsia="Times New Roman" w:cstheme="minorHAnsi"/>
                <w:bCs/>
                <w:color w:val="000000"/>
              </w:rPr>
              <w:t>Carbohydrates</w:t>
            </w:r>
          </w:p>
        </w:tc>
        <w:tc>
          <w:tcPr>
            <w:tcW w:w="1843" w:type="dxa"/>
            <w:tcBorders>
              <w:top w:val="nil"/>
              <w:left w:val="nil"/>
              <w:bottom w:val="nil"/>
              <w:right w:val="nil"/>
            </w:tcBorders>
            <w:shd w:val="clear" w:color="auto" w:fill="auto"/>
            <w:noWrap/>
            <w:vAlign w:val="center"/>
            <w:hideMark/>
          </w:tcPr>
          <w:p w14:paraId="453C6238" w14:textId="77777777" w:rsidR="00EB16CD" w:rsidRPr="00830BAD" w:rsidRDefault="00EB16CD" w:rsidP="00830BAD">
            <w:pPr>
              <w:spacing w:after="0" w:line="240" w:lineRule="auto"/>
              <w:ind w:firstLineChars="100" w:firstLine="220"/>
              <w:jc w:val="both"/>
              <w:rPr>
                <w:rFonts w:eastAsia="Times New Roman" w:cstheme="minorHAnsi"/>
                <w:color w:val="000000"/>
              </w:rPr>
            </w:pPr>
          </w:p>
        </w:tc>
      </w:tr>
      <w:tr w:rsidR="00EB16CD" w:rsidRPr="00830BAD" w14:paraId="43098477" w14:textId="77777777" w:rsidTr="00372B69">
        <w:trPr>
          <w:trHeight w:val="300"/>
        </w:trPr>
        <w:tc>
          <w:tcPr>
            <w:tcW w:w="480" w:type="dxa"/>
            <w:tcBorders>
              <w:top w:val="nil"/>
              <w:left w:val="nil"/>
              <w:bottom w:val="nil"/>
              <w:right w:val="nil"/>
            </w:tcBorders>
            <w:shd w:val="clear" w:color="auto" w:fill="auto"/>
            <w:noWrap/>
            <w:vAlign w:val="center"/>
          </w:tcPr>
          <w:p w14:paraId="2A829510" w14:textId="77777777" w:rsidR="00EB16CD" w:rsidRPr="00830BAD" w:rsidRDefault="00EB16CD" w:rsidP="00830BAD">
            <w:pPr>
              <w:spacing w:after="0" w:line="240" w:lineRule="auto"/>
              <w:jc w:val="both"/>
              <w:rPr>
                <w:rFonts w:eastAsia="Times New Roman" w:cstheme="minorHAnsi"/>
              </w:rPr>
            </w:pPr>
          </w:p>
        </w:tc>
        <w:tc>
          <w:tcPr>
            <w:tcW w:w="3348" w:type="dxa"/>
            <w:tcBorders>
              <w:top w:val="nil"/>
              <w:left w:val="nil"/>
              <w:bottom w:val="nil"/>
              <w:right w:val="nil"/>
            </w:tcBorders>
            <w:shd w:val="clear" w:color="auto" w:fill="auto"/>
            <w:noWrap/>
            <w:vAlign w:val="center"/>
            <w:hideMark/>
          </w:tcPr>
          <w:p w14:paraId="6E9D53FC" w14:textId="77777777" w:rsidR="00EB16CD" w:rsidRPr="00830BAD" w:rsidRDefault="00A6343D" w:rsidP="00830BAD">
            <w:pPr>
              <w:spacing w:after="0" w:line="240" w:lineRule="auto"/>
              <w:ind w:firstLineChars="100" w:firstLine="220"/>
              <w:jc w:val="both"/>
              <w:rPr>
                <w:rFonts w:eastAsia="Times New Roman" w:cstheme="minorHAnsi"/>
                <w:color w:val="000000"/>
              </w:rPr>
            </w:pPr>
            <w:r w:rsidRPr="00830BAD">
              <w:rPr>
                <w:rFonts w:eastAsia="Times New Roman" w:cstheme="minorHAnsi"/>
                <w:color w:val="000000"/>
              </w:rPr>
              <w:t>Less</w:t>
            </w:r>
          </w:p>
        </w:tc>
        <w:tc>
          <w:tcPr>
            <w:tcW w:w="1842" w:type="dxa"/>
            <w:tcBorders>
              <w:top w:val="nil"/>
              <w:left w:val="nil"/>
              <w:bottom w:val="nil"/>
              <w:right w:val="nil"/>
            </w:tcBorders>
            <w:shd w:val="clear" w:color="auto" w:fill="auto"/>
            <w:noWrap/>
            <w:vAlign w:val="center"/>
            <w:hideMark/>
          </w:tcPr>
          <w:p w14:paraId="24ABEE33" w14:textId="77777777" w:rsidR="00EB16CD" w:rsidRPr="00830BAD" w:rsidRDefault="00EB16CD" w:rsidP="00830BAD">
            <w:pPr>
              <w:spacing w:after="0" w:line="240" w:lineRule="auto"/>
              <w:jc w:val="both"/>
              <w:rPr>
                <w:rFonts w:eastAsia="Times New Roman" w:cstheme="minorHAnsi"/>
                <w:color w:val="000000"/>
              </w:rPr>
            </w:pPr>
            <w:r w:rsidRPr="00830BAD">
              <w:rPr>
                <w:rFonts w:eastAsia="Times New Roman" w:cstheme="minorHAnsi"/>
                <w:color w:val="000000"/>
              </w:rPr>
              <w:t>69</w:t>
            </w:r>
          </w:p>
        </w:tc>
        <w:tc>
          <w:tcPr>
            <w:tcW w:w="1843" w:type="dxa"/>
            <w:tcBorders>
              <w:top w:val="nil"/>
              <w:left w:val="nil"/>
              <w:bottom w:val="nil"/>
              <w:right w:val="nil"/>
            </w:tcBorders>
            <w:shd w:val="clear" w:color="auto" w:fill="auto"/>
            <w:noWrap/>
            <w:vAlign w:val="center"/>
            <w:hideMark/>
          </w:tcPr>
          <w:p w14:paraId="72DDD38C" w14:textId="48388E7D" w:rsidR="00EB16CD" w:rsidRPr="00830BAD" w:rsidRDefault="00EB16CD" w:rsidP="00C465DA">
            <w:pPr>
              <w:spacing w:after="0" w:line="240" w:lineRule="auto"/>
              <w:jc w:val="both"/>
              <w:rPr>
                <w:rFonts w:eastAsia="Times New Roman" w:cstheme="minorHAnsi"/>
                <w:color w:val="000000"/>
              </w:rPr>
            </w:pPr>
            <w:r w:rsidRPr="00830BAD">
              <w:rPr>
                <w:rFonts w:eastAsia="Times New Roman" w:cstheme="minorHAnsi"/>
                <w:color w:val="000000"/>
              </w:rPr>
              <w:t>53</w:t>
            </w:r>
            <w:r w:rsidR="00C465DA">
              <w:rPr>
                <w:rFonts w:eastAsia="Times New Roman" w:cstheme="minorHAnsi"/>
                <w:color w:val="000000"/>
              </w:rPr>
              <w:t>.</w:t>
            </w:r>
            <w:r w:rsidRPr="00830BAD">
              <w:rPr>
                <w:rFonts w:eastAsia="Times New Roman" w:cstheme="minorHAnsi"/>
                <w:color w:val="000000"/>
              </w:rPr>
              <w:t>9</w:t>
            </w:r>
          </w:p>
        </w:tc>
      </w:tr>
      <w:tr w:rsidR="00EB16CD" w:rsidRPr="00830BAD" w14:paraId="016181C7" w14:textId="77777777" w:rsidTr="00372B69">
        <w:trPr>
          <w:trHeight w:val="300"/>
        </w:trPr>
        <w:tc>
          <w:tcPr>
            <w:tcW w:w="480" w:type="dxa"/>
            <w:tcBorders>
              <w:top w:val="nil"/>
              <w:left w:val="nil"/>
              <w:bottom w:val="nil"/>
              <w:right w:val="nil"/>
            </w:tcBorders>
            <w:shd w:val="clear" w:color="auto" w:fill="auto"/>
            <w:noWrap/>
            <w:vAlign w:val="center"/>
          </w:tcPr>
          <w:p w14:paraId="5F2BA491" w14:textId="77777777" w:rsidR="00EB16CD" w:rsidRPr="00830BAD" w:rsidRDefault="00EB16CD" w:rsidP="00830BAD">
            <w:pPr>
              <w:spacing w:after="0" w:line="240" w:lineRule="auto"/>
              <w:jc w:val="both"/>
              <w:rPr>
                <w:rFonts w:eastAsia="Times New Roman" w:cstheme="minorHAnsi"/>
                <w:color w:val="000000"/>
              </w:rPr>
            </w:pPr>
          </w:p>
        </w:tc>
        <w:tc>
          <w:tcPr>
            <w:tcW w:w="3348" w:type="dxa"/>
            <w:tcBorders>
              <w:top w:val="nil"/>
              <w:left w:val="nil"/>
              <w:bottom w:val="nil"/>
              <w:right w:val="nil"/>
            </w:tcBorders>
            <w:shd w:val="clear" w:color="auto" w:fill="auto"/>
            <w:noWrap/>
            <w:vAlign w:val="center"/>
            <w:hideMark/>
          </w:tcPr>
          <w:p w14:paraId="285538A0" w14:textId="77777777" w:rsidR="00EB16CD" w:rsidRPr="00830BAD" w:rsidRDefault="00A6343D" w:rsidP="00830BAD">
            <w:pPr>
              <w:spacing w:after="0" w:line="240" w:lineRule="auto"/>
              <w:ind w:firstLineChars="100" w:firstLine="220"/>
              <w:jc w:val="both"/>
              <w:rPr>
                <w:rFonts w:eastAsia="Times New Roman" w:cstheme="minorHAnsi"/>
                <w:color w:val="000000"/>
              </w:rPr>
            </w:pPr>
            <w:r w:rsidRPr="00830BAD">
              <w:rPr>
                <w:rFonts w:eastAsia="Times New Roman" w:cstheme="minorHAnsi"/>
                <w:color w:val="000000"/>
              </w:rPr>
              <w:t>More</w:t>
            </w:r>
          </w:p>
        </w:tc>
        <w:tc>
          <w:tcPr>
            <w:tcW w:w="1842" w:type="dxa"/>
            <w:tcBorders>
              <w:top w:val="nil"/>
              <w:left w:val="nil"/>
              <w:bottom w:val="nil"/>
              <w:right w:val="nil"/>
            </w:tcBorders>
            <w:shd w:val="clear" w:color="auto" w:fill="auto"/>
            <w:noWrap/>
            <w:vAlign w:val="center"/>
            <w:hideMark/>
          </w:tcPr>
          <w:p w14:paraId="686A25D1" w14:textId="77777777" w:rsidR="00EB16CD" w:rsidRPr="00830BAD" w:rsidRDefault="00EB16CD" w:rsidP="00830BAD">
            <w:pPr>
              <w:spacing w:after="0" w:line="240" w:lineRule="auto"/>
              <w:jc w:val="both"/>
              <w:rPr>
                <w:rFonts w:eastAsia="Times New Roman" w:cstheme="minorHAnsi"/>
                <w:color w:val="000000"/>
              </w:rPr>
            </w:pPr>
            <w:r w:rsidRPr="00830BAD">
              <w:rPr>
                <w:rFonts w:eastAsia="Times New Roman" w:cstheme="minorHAnsi"/>
                <w:color w:val="000000"/>
              </w:rPr>
              <w:t>27</w:t>
            </w:r>
          </w:p>
        </w:tc>
        <w:tc>
          <w:tcPr>
            <w:tcW w:w="1843" w:type="dxa"/>
            <w:tcBorders>
              <w:top w:val="nil"/>
              <w:left w:val="nil"/>
              <w:bottom w:val="nil"/>
              <w:right w:val="nil"/>
            </w:tcBorders>
            <w:shd w:val="clear" w:color="auto" w:fill="auto"/>
            <w:noWrap/>
            <w:vAlign w:val="center"/>
            <w:hideMark/>
          </w:tcPr>
          <w:p w14:paraId="4B39BF02" w14:textId="68F3A3E6" w:rsidR="00EB16CD" w:rsidRPr="00830BAD" w:rsidRDefault="00C465DA" w:rsidP="00830BAD">
            <w:pPr>
              <w:spacing w:after="0" w:line="240" w:lineRule="auto"/>
              <w:jc w:val="both"/>
              <w:rPr>
                <w:rFonts w:eastAsia="Times New Roman" w:cstheme="minorHAnsi"/>
                <w:color w:val="000000"/>
              </w:rPr>
            </w:pPr>
            <w:r>
              <w:rPr>
                <w:rFonts w:eastAsia="Times New Roman" w:cstheme="minorHAnsi"/>
                <w:color w:val="000000"/>
              </w:rPr>
              <w:t>21.</w:t>
            </w:r>
            <w:r w:rsidR="00EB16CD" w:rsidRPr="00830BAD">
              <w:rPr>
                <w:rFonts w:eastAsia="Times New Roman" w:cstheme="minorHAnsi"/>
                <w:color w:val="000000"/>
              </w:rPr>
              <w:t>1</w:t>
            </w:r>
          </w:p>
        </w:tc>
      </w:tr>
      <w:tr w:rsidR="00EB16CD" w:rsidRPr="00830BAD" w14:paraId="4CEA1C3A" w14:textId="77777777" w:rsidTr="00372B69">
        <w:trPr>
          <w:trHeight w:val="300"/>
        </w:trPr>
        <w:tc>
          <w:tcPr>
            <w:tcW w:w="480" w:type="dxa"/>
            <w:tcBorders>
              <w:top w:val="nil"/>
              <w:left w:val="nil"/>
              <w:bottom w:val="nil"/>
              <w:right w:val="nil"/>
            </w:tcBorders>
            <w:shd w:val="clear" w:color="auto" w:fill="auto"/>
            <w:noWrap/>
            <w:vAlign w:val="center"/>
          </w:tcPr>
          <w:p w14:paraId="14BC5ECD" w14:textId="77777777" w:rsidR="00EB16CD" w:rsidRPr="00830BAD" w:rsidRDefault="00EB16CD" w:rsidP="00830BAD">
            <w:pPr>
              <w:spacing w:after="0" w:line="240" w:lineRule="auto"/>
              <w:jc w:val="both"/>
              <w:rPr>
                <w:rFonts w:eastAsia="Times New Roman" w:cstheme="minorHAnsi"/>
                <w:color w:val="000000"/>
              </w:rPr>
            </w:pPr>
          </w:p>
        </w:tc>
        <w:tc>
          <w:tcPr>
            <w:tcW w:w="3348" w:type="dxa"/>
            <w:tcBorders>
              <w:top w:val="nil"/>
              <w:left w:val="nil"/>
              <w:bottom w:val="nil"/>
              <w:right w:val="nil"/>
            </w:tcBorders>
            <w:shd w:val="clear" w:color="auto" w:fill="auto"/>
            <w:noWrap/>
            <w:vAlign w:val="center"/>
            <w:hideMark/>
          </w:tcPr>
          <w:p w14:paraId="198D9819" w14:textId="77777777" w:rsidR="00EB16CD" w:rsidRPr="00830BAD" w:rsidRDefault="00A6343D" w:rsidP="00830BAD">
            <w:pPr>
              <w:spacing w:after="0" w:line="240" w:lineRule="auto"/>
              <w:ind w:firstLineChars="100" w:firstLine="220"/>
              <w:jc w:val="both"/>
              <w:rPr>
                <w:rFonts w:eastAsia="Times New Roman" w:cstheme="minorHAnsi"/>
                <w:color w:val="000000"/>
              </w:rPr>
            </w:pPr>
            <w:r w:rsidRPr="00830BAD">
              <w:rPr>
                <w:rFonts w:eastAsia="Times New Roman" w:cstheme="minorHAnsi"/>
                <w:color w:val="000000"/>
              </w:rPr>
              <w:t>Good</w:t>
            </w:r>
          </w:p>
        </w:tc>
        <w:tc>
          <w:tcPr>
            <w:tcW w:w="1842" w:type="dxa"/>
            <w:tcBorders>
              <w:top w:val="nil"/>
              <w:left w:val="nil"/>
              <w:bottom w:val="nil"/>
              <w:right w:val="nil"/>
            </w:tcBorders>
            <w:shd w:val="clear" w:color="auto" w:fill="auto"/>
            <w:noWrap/>
            <w:vAlign w:val="center"/>
            <w:hideMark/>
          </w:tcPr>
          <w:p w14:paraId="6810A9D8" w14:textId="77777777" w:rsidR="00EB16CD" w:rsidRPr="00830BAD" w:rsidRDefault="00EB16CD" w:rsidP="00830BAD">
            <w:pPr>
              <w:spacing w:after="0" w:line="240" w:lineRule="auto"/>
              <w:jc w:val="both"/>
              <w:rPr>
                <w:rFonts w:eastAsia="Times New Roman" w:cstheme="minorHAnsi"/>
                <w:color w:val="000000"/>
              </w:rPr>
            </w:pPr>
            <w:r w:rsidRPr="00830BAD">
              <w:rPr>
                <w:rFonts w:eastAsia="Times New Roman" w:cstheme="minorHAnsi"/>
                <w:color w:val="000000"/>
              </w:rPr>
              <w:t>32</w:t>
            </w:r>
          </w:p>
        </w:tc>
        <w:tc>
          <w:tcPr>
            <w:tcW w:w="1843" w:type="dxa"/>
            <w:tcBorders>
              <w:top w:val="nil"/>
              <w:left w:val="nil"/>
              <w:bottom w:val="nil"/>
              <w:right w:val="nil"/>
            </w:tcBorders>
            <w:shd w:val="clear" w:color="auto" w:fill="auto"/>
            <w:noWrap/>
            <w:vAlign w:val="center"/>
            <w:hideMark/>
          </w:tcPr>
          <w:p w14:paraId="6250B2D9" w14:textId="0145110C" w:rsidR="00EB16CD" w:rsidRPr="00830BAD" w:rsidRDefault="00C465DA" w:rsidP="00830BAD">
            <w:pPr>
              <w:spacing w:after="0" w:line="240" w:lineRule="auto"/>
              <w:jc w:val="both"/>
              <w:rPr>
                <w:rFonts w:eastAsia="Times New Roman" w:cstheme="minorHAnsi"/>
                <w:color w:val="000000"/>
              </w:rPr>
            </w:pPr>
            <w:r>
              <w:rPr>
                <w:rFonts w:eastAsia="Times New Roman" w:cstheme="minorHAnsi"/>
                <w:color w:val="000000"/>
              </w:rPr>
              <w:t>25.</w:t>
            </w:r>
            <w:r w:rsidR="00EB16CD" w:rsidRPr="00830BAD">
              <w:rPr>
                <w:rFonts w:eastAsia="Times New Roman" w:cstheme="minorHAnsi"/>
                <w:color w:val="000000"/>
              </w:rPr>
              <w:t>0</w:t>
            </w:r>
          </w:p>
        </w:tc>
      </w:tr>
      <w:tr w:rsidR="00EB16CD" w:rsidRPr="00830BAD" w14:paraId="625E2A6D" w14:textId="77777777" w:rsidTr="00372B69">
        <w:trPr>
          <w:trHeight w:val="300"/>
        </w:trPr>
        <w:tc>
          <w:tcPr>
            <w:tcW w:w="480" w:type="dxa"/>
            <w:tcBorders>
              <w:top w:val="nil"/>
              <w:left w:val="nil"/>
              <w:bottom w:val="nil"/>
              <w:right w:val="nil"/>
            </w:tcBorders>
            <w:shd w:val="clear" w:color="auto" w:fill="auto"/>
            <w:noWrap/>
            <w:vAlign w:val="center"/>
          </w:tcPr>
          <w:p w14:paraId="4C49BE67" w14:textId="77777777" w:rsidR="00EB16CD" w:rsidRPr="00830BAD" w:rsidRDefault="00EB16CD" w:rsidP="00830BAD">
            <w:pPr>
              <w:spacing w:after="0" w:line="240" w:lineRule="auto"/>
              <w:jc w:val="both"/>
              <w:rPr>
                <w:rFonts w:eastAsia="Times New Roman" w:cstheme="minorHAnsi"/>
                <w:color w:val="000000"/>
              </w:rPr>
            </w:pPr>
          </w:p>
        </w:tc>
        <w:tc>
          <w:tcPr>
            <w:tcW w:w="5190" w:type="dxa"/>
            <w:gridSpan w:val="2"/>
            <w:tcBorders>
              <w:top w:val="nil"/>
              <w:left w:val="nil"/>
              <w:bottom w:val="nil"/>
              <w:right w:val="nil"/>
            </w:tcBorders>
            <w:shd w:val="clear" w:color="auto" w:fill="auto"/>
            <w:noWrap/>
            <w:vAlign w:val="center"/>
            <w:hideMark/>
          </w:tcPr>
          <w:p w14:paraId="441A4D62" w14:textId="77777777" w:rsidR="00EB16CD" w:rsidRPr="00830BAD" w:rsidRDefault="00EB16CD" w:rsidP="004A2CA5">
            <w:pPr>
              <w:spacing w:after="0" w:line="240" w:lineRule="auto"/>
              <w:ind w:leftChars="-8" w:hangingChars="8" w:hanging="18"/>
              <w:jc w:val="both"/>
              <w:rPr>
                <w:rFonts w:eastAsia="Times New Roman" w:cstheme="minorHAnsi"/>
                <w:color w:val="000000"/>
              </w:rPr>
            </w:pPr>
            <w:r w:rsidRPr="00830BAD">
              <w:rPr>
                <w:rFonts w:eastAsia="Times New Roman" w:cstheme="minorHAnsi"/>
                <w:color w:val="000000"/>
                <w:lang w:val="en-GB"/>
              </w:rPr>
              <w:t xml:space="preserve">b.  Protein </w:t>
            </w:r>
          </w:p>
        </w:tc>
        <w:tc>
          <w:tcPr>
            <w:tcW w:w="1843" w:type="dxa"/>
            <w:tcBorders>
              <w:top w:val="nil"/>
              <w:left w:val="nil"/>
              <w:bottom w:val="nil"/>
              <w:right w:val="nil"/>
            </w:tcBorders>
            <w:shd w:val="clear" w:color="auto" w:fill="auto"/>
            <w:noWrap/>
            <w:vAlign w:val="center"/>
            <w:hideMark/>
          </w:tcPr>
          <w:p w14:paraId="40178BE2" w14:textId="77777777" w:rsidR="00EB16CD" w:rsidRPr="00830BAD" w:rsidRDefault="00EB16CD" w:rsidP="00830BAD">
            <w:pPr>
              <w:spacing w:after="0" w:line="240" w:lineRule="auto"/>
              <w:ind w:firstLineChars="100" w:firstLine="220"/>
              <w:jc w:val="both"/>
              <w:rPr>
                <w:rFonts w:eastAsia="Times New Roman" w:cstheme="minorHAnsi"/>
                <w:color w:val="000000"/>
              </w:rPr>
            </w:pPr>
          </w:p>
        </w:tc>
      </w:tr>
      <w:tr w:rsidR="00A6343D" w:rsidRPr="00830BAD" w14:paraId="6D0628BD" w14:textId="77777777" w:rsidTr="00372B69">
        <w:trPr>
          <w:trHeight w:val="300"/>
        </w:trPr>
        <w:tc>
          <w:tcPr>
            <w:tcW w:w="480" w:type="dxa"/>
            <w:tcBorders>
              <w:top w:val="nil"/>
              <w:left w:val="nil"/>
              <w:bottom w:val="nil"/>
              <w:right w:val="nil"/>
            </w:tcBorders>
            <w:shd w:val="clear" w:color="auto" w:fill="auto"/>
            <w:noWrap/>
            <w:vAlign w:val="center"/>
          </w:tcPr>
          <w:p w14:paraId="518E82D2" w14:textId="77777777" w:rsidR="00A6343D" w:rsidRPr="00830BAD" w:rsidRDefault="00A6343D" w:rsidP="00830BAD">
            <w:pPr>
              <w:spacing w:after="0" w:line="240" w:lineRule="auto"/>
              <w:jc w:val="both"/>
              <w:rPr>
                <w:rFonts w:eastAsia="Times New Roman" w:cstheme="minorHAnsi"/>
              </w:rPr>
            </w:pPr>
          </w:p>
        </w:tc>
        <w:tc>
          <w:tcPr>
            <w:tcW w:w="3348" w:type="dxa"/>
            <w:tcBorders>
              <w:top w:val="nil"/>
              <w:left w:val="nil"/>
              <w:bottom w:val="nil"/>
              <w:right w:val="nil"/>
            </w:tcBorders>
            <w:shd w:val="clear" w:color="auto" w:fill="auto"/>
            <w:noWrap/>
            <w:vAlign w:val="center"/>
            <w:hideMark/>
          </w:tcPr>
          <w:p w14:paraId="633D895B" w14:textId="77777777" w:rsidR="00A6343D" w:rsidRPr="00830BAD" w:rsidRDefault="00A6343D" w:rsidP="00830BAD">
            <w:pPr>
              <w:spacing w:after="0" w:line="240" w:lineRule="auto"/>
              <w:ind w:firstLineChars="100" w:firstLine="220"/>
              <w:jc w:val="both"/>
              <w:rPr>
                <w:rFonts w:eastAsia="Times New Roman" w:cstheme="minorHAnsi"/>
                <w:color w:val="000000"/>
              </w:rPr>
            </w:pPr>
            <w:r w:rsidRPr="00830BAD">
              <w:rPr>
                <w:rFonts w:eastAsia="Times New Roman" w:cstheme="minorHAnsi"/>
                <w:color w:val="000000"/>
              </w:rPr>
              <w:t>Less</w:t>
            </w:r>
          </w:p>
        </w:tc>
        <w:tc>
          <w:tcPr>
            <w:tcW w:w="1842" w:type="dxa"/>
            <w:tcBorders>
              <w:top w:val="nil"/>
              <w:left w:val="nil"/>
              <w:bottom w:val="nil"/>
              <w:right w:val="nil"/>
            </w:tcBorders>
            <w:shd w:val="clear" w:color="auto" w:fill="auto"/>
            <w:noWrap/>
            <w:vAlign w:val="center"/>
            <w:hideMark/>
          </w:tcPr>
          <w:p w14:paraId="4ACB4472" w14:textId="77777777" w:rsidR="00A6343D" w:rsidRPr="00830BAD" w:rsidRDefault="00A6343D" w:rsidP="00830BAD">
            <w:pPr>
              <w:spacing w:after="0" w:line="240" w:lineRule="auto"/>
              <w:jc w:val="both"/>
              <w:rPr>
                <w:rFonts w:eastAsia="Times New Roman" w:cstheme="minorHAnsi"/>
                <w:color w:val="000000"/>
              </w:rPr>
            </w:pPr>
            <w:r w:rsidRPr="00830BAD">
              <w:rPr>
                <w:rFonts w:eastAsia="Times New Roman" w:cstheme="minorHAnsi"/>
                <w:color w:val="000000"/>
              </w:rPr>
              <w:t>69</w:t>
            </w:r>
          </w:p>
        </w:tc>
        <w:tc>
          <w:tcPr>
            <w:tcW w:w="1843" w:type="dxa"/>
            <w:tcBorders>
              <w:top w:val="nil"/>
              <w:left w:val="nil"/>
              <w:bottom w:val="nil"/>
              <w:right w:val="nil"/>
            </w:tcBorders>
            <w:shd w:val="clear" w:color="auto" w:fill="auto"/>
            <w:noWrap/>
            <w:vAlign w:val="center"/>
            <w:hideMark/>
          </w:tcPr>
          <w:p w14:paraId="730DA1D4" w14:textId="3A49E89D" w:rsidR="00A6343D" w:rsidRPr="00830BAD" w:rsidRDefault="00C465DA" w:rsidP="00830BAD">
            <w:pPr>
              <w:spacing w:after="0" w:line="240" w:lineRule="auto"/>
              <w:jc w:val="both"/>
              <w:rPr>
                <w:rFonts w:eastAsia="Times New Roman" w:cstheme="minorHAnsi"/>
                <w:color w:val="000000"/>
              </w:rPr>
            </w:pPr>
            <w:r>
              <w:rPr>
                <w:rFonts w:eastAsia="Times New Roman" w:cstheme="minorHAnsi"/>
                <w:color w:val="000000"/>
              </w:rPr>
              <w:t>53.</w:t>
            </w:r>
            <w:r w:rsidR="00A6343D" w:rsidRPr="00830BAD">
              <w:rPr>
                <w:rFonts w:eastAsia="Times New Roman" w:cstheme="minorHAnsi"/>
                <w:color w:val="000000"/>
              </w:rPr>
              <w:t>9</w:t>
            </w:r>
          </w:p>
        </w:tc>
      </w:tr>
      <w:tr w:rsidR="00A6343D" w:rsidRPr="00830BAD" w14:paraId="00F4AE3C" w14:textId="77777777" w:rsidTr="00372B69">
        <w:trPr>
          <w:trHeight w:val="300"/>
        </w:trPr>
        <w:tc>
          <w:tcPr>
            <w:tcW w:w="480" w:type="dxa"/>
            <w:tcBorders>
              <w:top w:val="nil"/>
              <w:left w:val="nil"/>
              <w:bottom w:val="nil"/>
              <w:right w:val="nil"/>
            </w:tcBorders>
            <w:shd w:val="clear" w:color="auto" w:fill="auto"/>
            <w:noWrap/>
            <w:vAlign w:val="center"/>
          </w:tcPr>
          <w:p w14:paraId="2055DC10" w14:textId="77777777" w:rsidR="00A6343D" w:rsidRPr="00830BAD" w:rsidRDefault="00A6343D" w:rsidP="00830BAD">
            <w:pPr>
              <w:spacing w:after="0" w:line="240" w:lineRule="auto"/>
              <w:jc w:val="both"/>
              <w:rPr>
                <w:rFonts w:eastAsia="Times New Roman" w:cstheme="minorHAnsi"/>
                <w:color w:val="000000"/>
              </w:rPr>
            </w:pPr>
          </w:p>
        </w:tc>
        <w:tc>
          <w:tcPr>
            <w:tcW w:w="3348" w:type="dxa"/>
            <w:tcBorders>
              <w:top w:val="nil"/>
              <w:left w:val="nil"/>
              <w:bottom w:val="nil"/>
              <w:right w:val="nil"/>
            </w:tcBorders>
            <w:shd w:val="clear" w:color="auto" w:fill="auto"/>
            <w:noWrap/>
            <w:vAlign w:val="center"/>
            <w:hideMark/>
          </w:tcPr>
          <w:p w14:paraId="18E81FF7" w14:textId="77777777" w:rsidR="00A6343D" w:rsidRPr="00830BAD" w:rsidRDefault="00A6343D" w:rsidP="00830BAD">
            <w:pPr>
              <w:spacing w:after="0" w:line="240" w:lineRule="auto"/>
              <w:ind w:firstLineChars="100" w:firstLine="220"/>
              <w:jc w:val="both"/>
              <w:rPr>
                <w:rFonts w:eastAsia="Times New Roman" w:cstheme="minorHAnsi"/>
                <w:color w:val="000000"/>
              </w:rPr>
            </w:pPr>
            <w:r w:rsidRPr="00830BAD">
              <w:rPr>
                <w:rFonts w:eastAsia="Times New Roman" w:cstheme="minorHAnsi"/>
                <w:color w:val="000000"/>
              </w:rPr>
              <w:t>More</w:t>
            </w:r>
          </w:p>
        </w:tc>
        <w:tc>
          <w:tcPr>
            <w:tcW w:w="1842" w:type="dxa"/>
            <w:tcBorders>
              <w:top w:val="nil"/>
              <w:left w:val="nil"/>
              <w:bottom w:val="nil"/>
              <w:right w:val="nil"/>
            </w:tcBorders>
            <w:shd w:val="clear" w:color="auto" w:fill="auto"/>
            <w:noWrap/>
            <w:vAlign w:val="center"/>
            <w:hideMark/>
          </w:tcPr>
          <w:p w14:paraId="1C1F0B84" w14:textId="77777777" w:rsidR="00A6343D" w:rsidRPr="00830BAD" w:rsidRDefault="00A6343D" w:rsidP="00830BAD">
            <w:pPr>
              <w:spacing w:after="0" w:line="240" w:lineRule="auto"/>
              <w:jc w:val="both"/>
              <w:rPr>
                <w:rFonts w:eastAsia="Times New Roman" w:cstheme="minorHAnsi"/>
                <w:color w:val="000000"/>
              </w:rPr>
            </w:pPr>
            <w:r w:rsidRPr="00830BAD">
              <w:rPr>
                <w:rFonts w:eastAsia="Times New Roman" w:cstheme="minorHAnsi"/>
                <w:color w:val="000000"/>
              </w:rPr>
              <w:t>18</w:t>
            </w:r>
          </w:p>
        </w:tc>
        <w:tc>
          <w:tcPr>
            <w:tcW w:w="1843" w:type="dxa"/>
            <w:tcBorders>
              <w:top w:val="nil"/>
              <w:left w:val="nil"/>
              <w:bottom w:val="nil"/>
              <w:right w:val="nil"/>
            </w:tcBorders>
            <w:shd w:val="clear" w:color="auto" w:fill="auto"/>
            <w:noWrap/>
            <w:vAlign w:val="center"/>
            <w:hideMark/>
          </w:tcPr>
          <w:p w14:paraId="6E09970D" w14:textId="5AAC3CA6" w:rsidR="00A6343D" w:rsidRPr="00830BAD" w:rsidRDefault="00C465DA" w:rsidP="00830BAD">
            <w:pPr>
              <w:spacing w:after="0" w:line="240" w:lineRule="auto"/>
              <w:jc w:val="both"/>
              <w:rPr>
                <w:rFonts w:eastAsia="Times New Roman" w:cstheme="minorHAnsi"/>
                <w:color w:val="000000"/>
              </w:rPr>
            </w:pPr>
            <w:r>
              <w:rPr>
                <w:rFonts w:eastAsia="Times New Roman" w:cstheme="minorHAnsi"/>
                <w:color w:val="000000"/>
              </w:rPr>
              <w:t>14.</w:t>
            </w:r>
            <w:r w:rsidR="00A6343D" w:rsidRPr="00830BAD">
              <w:rPr>
                <w:rFonts w:eastAsia="Times New Roman" w:cstheme="minorHAnsi"/>
                <w:color w:val="000000"/>
              </w:rPr>
              <w:t>1</w:t>
            </w:r>
          </w:p>
        </w:tc>
      </w:tr>
      <w:tr w:rsidR="00A6343D" w:rsidRPr="00830BAD" w14:paraId="726B6156" w14:textId="77777777" w:rsidTr="00372B69">
        <w:trPr>
          <w:trHeight w:val="300"/>
        </w:trPr>
        <w:tc>
          <w:tcPr>
            <w:tcW w:w="480" w:type="dxa"/>
            <w:tcBorders>
              <w:top w:val="nil"/>
              <w:left w:val="nil"/>
              <w:bottom w:val="nil"/>
              <w:right w:val="nil"/>
            </w:tcBorders>
            <w:shd w:val="clear" w:color="auto" w:fill="auto"/>
            <w:noWrap/>
            <w:vAlign w:val="center"/>
          </w:tcPr>
          <w:p w14:paraId="45CCE579" w14:textId="77777777" w:rsidR="00A6343D" w:rsidRPr="00830BAD" w:rsidRDefault="00A6343D" w:rsidP="00830BAD">
            <w:pPr>
              <w:spacing w:after="0" w:line="240" w:lineRule="auto"/>
              <w:jc w:val="both"/>
              <w:rPr>
                <w:rFonts w:eastAsia="Times New Roman" w:cstheme="minorHAnsi"/>
                <w:color w:val="000000"/>
              </w:rPr>
            </w:pPr>
          </w:p>
        </w:tc>
        <w:tc>
          <w:tcPr>
            <w:tcW w:w="3348" w:type="dxa"/>
            <w:tcBorders>
              <w:top w:val="nil"/>
              <w:left w:val="nil"/>
              <w:bottom w:val="nil"/>
              <w:right w:val="nil"/>
            </w:tcBorders>
            <w:shd w:val="clear" w:color="auto" w:fill="auto"/>
            <w:noWrap/>
            <w:vAlign w:val="center"/>
            <w:hideMark/>
          </w:tcPr>
          <w:p w14:paraId="608C3D34" w14:textId="77777777" w:rsidR="00A6343D" w:rsidRPr="00830BAD" w:rsidRDefault="00A6343D" w:rsidP="00830BAD">
            <w:pPr>
              <w:spacing w:after="0" w:line="240" w:lineRule="auto"/>
              <w:ind w:firstLineChars="100" w:firstLine="220"/>
              <w:jc w:val="both"/>
              <w:rPr>
                <w:rFonts w:eastAsia="Times New Roman" w:cstheme="minorHAnsi"/>
                <w:color w:val="000000"/>
              </w:rPr>
            </w:pPr>
            <w:r w:rsidRPr="00830BAD">
              <w:rPr>
                <w:rFonts w:eastAsia="Times New Roman" w:cstheme="minorHAnsi"/>
                <w:color w:val="000000"/>
              </w:rPr>
              <w:t>Good</w:t>
            </w:r>
          </w:p>
        </w:tc>
        <w:tc>
          <w:tcPr>
            <w:tcW w:w="1842" w:type="dxa"/>
            <w:tcBorders>
              <w:top w:val="nil"/>
              <w:left w:val="nil"/>
              <w:bottom w:val="nil"/>
              <w:right w:val="nil"/>
            </w:tcBorders>
            <w:shd w:val="clear" w:color="auto" w:fill="auto"/>
            <w:noWrap/>
            <w:vAlign w:val="center"/>
            <w:hideMark/>
          </w:tcPr>
          <w:p w14:paraId="7F14EEEB" w14:textId="77777777" w:rsidR="00A6343D" w:rsidRPr="00830BAD" w:rsidRDefault="00A6343D" w:rsidP="00830BAD">
            <w:pPr>
              <w:spacing w:after="0" w:line="240" w:lineRule="auto"/>
              <w:jc w:val="both"/>
              <w:rPr>
                <w:rFonts w:eastAsia="Times New Roman" w:cstheme="minorHAnsi"/>
                <w:color w:val="000000"/>
              </w:rPr>
            </w:pPr>
            <w:r w:rsidRPr="00830BAD">
              <w:rPr>
                <w:rFonts w:eastAsia="Times New Roman" w:cstheme="minorHAnsi"/>
                <w:color w:val="000000"/>
              </w:rPr>
              <w:t>41</w:t>
            </w:r>
          </w:p>
        </w:tc>
        <w:tc>
          <w:tcPr>
            <w:tcW w:w="1843" w:type="dxa"/>
            <w:tcBorders>
              <w:top w:val="nil"/>
              <w:left w:val="nil"/>
              <w:bottom w:val="nil"/>
              <w:right w:val="nil"/>
            </w:tcBorders>
            <w:shd w:val="clear" w:color="auto" w:fill="auto"/>
            <w:noWrap/>
            <w:vAlign w:val="center"/>
            <w:hideMark/>
          </w:tcPr>
          <w:p w14:paraId="611EB750" w14:textId="3A723B68" w:rsidR="00A6343D" w:rsidRPr="00830BAD" w:rsidRDefault="00C465DA" w:rsidP="00830BAD">
            <w:pPr>
              <w:spacing w:after="0" w:line="240" w:lineRule="auto"/>
              <w:jc w:val="both"/>
              <w:rPr>
                <w:rFonts w:eastAsia="Times New Roman" w:cstheme="minorHAnsi"/>
                <w:color w:val="000000"/>
              </w:rPr>
            </w:pPr>
            <w:r>
              <w:rPr>
                <w:rFonts w:eastAsia="Times New Roman" w:cstheme="minorHAnsi"/>
                <w:color w:val="000000"/>
              </w:rPr>
              <w:t>32.</w:t>
            </w:r>
            <w:r w:rsidR="00A6343D" w:rsidRPr="00830BAD">
              <w:rPr>
                <w:rFonts w:eastAsia="Times New Roman" w:cstheme="minorHAnsi"/>
                <w:color w:val="000000"/>
              </w:rPr>
              <w:t>0</w:t>
            </w:r>
          </w:p>
        </w:tc>
      </w:tr>
      <w:tr w:rsidR="00A6343D" w:rsidRPr="00830BAD" w14:paraId="65B36B4C" w14:textId="77777777" w:rsidTr="00372B69">
        <w:trPr>
          <w:trHeight w:val="300"/>
        </w:trPr>
        <w:tc>
          <w:tcPr>
            <w:tcW w:w="480" w:type="dxa"/>
            <w:tcBorders>
              <w:top w:val="nil"/>
              <w:left w:val="nil"/>
              <w:bottom w:val="nil"/>
              <w:right w:val="nil"/>
            </w:tcBorders>
            <w:shd w:val="clear" w:color="auto" w:fill="auto"/>
            <w:noWrap/>
            <w:vAlign w:val="center"/>
          </w:tcPr>
          <w:p w14:paraId="1C8201F3" w14:textId="77777777" w:rsidR="00A6343D" w:rsidRPr="00830BAD" w:rsidRDefault="00A6343D" w:rsidP="00830BAD">
            <w:pPr>
              <w:spacing w:after="0" w:line="240" w:lineRule="auto"/>
              <w:jc w:val="both"/>
              <w:rPr>
                <w:rFonts w:eastAsia="Times New Roman" w:cstheme="minorHAnsi"/>
                <w:color w:val="000000"/>
              </w:rPr>
            </w:pPr>
          </w:p>
        </w:tc>
        <w:tc>
          <w:tcPr>
            <w:tcW w:w="5190" w:type="dxa"/>
            <w:gridSpan w:val="2"/>
            <w:tcBorders>
              <w:top w:val="nil"/>
              <w:left w:val="nil"/>
              <w:bottom w:val="nil"/>
              <w:right w:val="nil"/>
            </w:tcBorders>
            <w:shd w:val="clear" w:color="auto" w:fill="auto"/>
            <w:noWrap/>
            <w:vAlign w:val="center"/>
            <w:hideMark/>
          </w:tcPr>
          <w:p w14:paraId="42919BB9" w14:textId="77777777" w:rsidR="00A6343D" w:rsidRPr="00830BAD" w:rsidRDefault="00A6343D" w:rsidP="004A2CA5">
            <w:pPr>
              <w:spacing w:after="0" w:line="240" w:lineRule="auto"/>
              <w:jc w:val="both"/>
              <w:rPr>
                <w:rFonts w:eastAsia="Times New Roman" w:cstheme="minorHAnsi"/>
                <w:color w:val="000000"/>
              </w:rPr>
            </w:pPr>
            <w:r w:rsidRPr="00830BAD">
              <w:rPr>
                <w:rFonts w:eastAsia="Times New Roman" w:cstheme="minorHAnsi"/>
                <w:color w:val="000000"/>
                <w:lang w:val="en-GB"/>
              </w:rPr>
              <w:t>c.   Fat</w:t>
            </w:r>
          </w:p>
        </w:tc>
        <w:tc>
          <w:tcPr>
            <w:tcW w:w="1843" w:type="dxa"/>
            <w:tcBorders>
              <w:top w:val="nil"/>
              <w:left w:val="nil"/>
              <w:bottom w:val="nil"/>
              <w:right w:val="nil"/>
            </w:tcBorders>
            <w:shd w:val="clear" w:color="auto" w:fill="auto"/>
            <w:noWrap/>
            <w:vAlign w:val="center"/>
            <w:hideMark/>
          </w:tcPr>
          <w:p w14:paraId="670FD6E1" w14:textId="77777777" w:rsidR="00A6343D" w:rsidRPr="00830BAD" w:rsidRDefault="00A6343D" w:rsidP="00830BAD">
            <w:pPr>
              <w:spacing w:after="0" w:line="240" w:lineRule="auto"/>
              <w:ind w:firstLineChars="100" w:firstLine="220"/>
              <w:jc w:val="both"/>
              <w:rPr>
                <w:rFonts w:eastAsia="Times New Roman" w:cstheme="minorHAnsi"/>
                <w:color w:val="000000"/>
              </w:rPr>
            </w:pPr>
          </w:p>
        </w:tc>
      </w:tr>
      <w:tr w:rsidR="005D15F4" w:rsidRPr="00830BAD" w14:paraId="01320468" w14:textId="77777777" w:rsidTr="00372B69">
        <w:trPr>
          <w:trHeight w:val="300"/>
        </w:trPr>
        <w:tc>
          <w:tcPr>
            <w:tcW w:w="480" w:type="dxa"/>
            <w:tcBorders>
              <w:top w:val="nil"/>
              <w:left w:val="nil"/>
              <w:bottom w:val="nil"/>
              <w:right w:val="nil"/>
            </w:tcBorders>
            <w:shd w:val="clear" w:color="auto" w:fill="auto"/>
            <w:noWrap/>
            <w:vAlign w:val="center"/>
          </w:tcPr>
          <w:p w14:paraId="2F284297" w14:textId="77777777" w:rsidR="005D15F4" w:rsidRPr="00830BAD" w:rsidRDefault="005D15F4" w:rsidP="00830BAD">
            <w:pPr>
              <w:spacing w:after="0" w:line="240" w:lineRule="auto"/>
              <w:jc w:val="both"/>
              <w:rPr>
                <w:rFonts w:eastAsia="Times New Roman" w:cstheme="minorHAnsi"/>
              </w:rPr>
            </w:pPr>
          </w:p>
        </w:tc>
        <w:tc>
          <w:tcPr>
            <w:tcW w:w="3348" w:type="dxa"/>
            <w:tcBorders>
              <w:top w:val="nil"/>
              <w:left w:val="nil"/>
              <w:bottom w:val="nil"/>
              <w:right w:val="nil"/>
            </w:tcBorders>
            <w:shd w:val="clear" w:color="auto" w:fill="auto"/>
            <w:noWrap/>
            <w:vAlign w:val="center"/>
            <w:hideMark/>
          </w:tcPr>
          <w:p w14:paraId="368F57A0" w14:textId="77777777" w:rsidR="005D15F4" w:rsidRPr="00830BAD" w:rsidRDefault="005D15F4" w:rsidP="00830BAD">
            <w:pPr>
              <w:spacing w:after="0" w:line="240" w:lineRule="auto"/>
              <w:ind w:firstLineChars="100" w:firstLine="220"/>
              <w:jc w:val="both"/>
              <w:rPr>
                <w:rFonts w:eastAsia="Times New Roman" w:cstheme="minorHAnsi"/>
                <w:color w:val="000000"/>
              </w:rPr>
            </w:pPr>
            <w:r w:rsidRPr="00830BAD">
              <w:rPr>
                <w:rFonts w:eastAsia="Times New Roman" w:cstheme="minorHAnsi"/>
                <w:color w:val="000000"/>
              </w:rPr>
              <w:t>Less</w:t>
            </w:r>
          </w:p>
        </w:tc>
        <w:tc>
          <w:tcPr>
            <w:tcW w:w="1842" w:type="dxa"/>
            <w:tcBorders>
              <w:top w:val="nil"/>
              <w:left w:val="nil"/>
              <w:bottom w:val="nil"/>
              <w:right w:val="nil"/>
            </w:tcBorders>
            <w:shd w:val="clear" w:color="auto" w:fill="auto"/>
            <w:noWrap/>
            <w:vAlign w:val="center"/>
            <w:hideMark/>
          </w:tcPr>
          <w:p w14:paraId="34215484" w14:textId="77777777" w:rsidR="005D15F4" w:rsidRPr="00830BAD" w:rsidRDefault="005D15F4" w:rsidP="00830BAD">
            <w:pPr>
              <w:spacing w:after="0" w:line="240" w:lineRule="auto"/>
              <w:jc w:val="both"/>
              <w:rPr>
                <w:rFonts w:eastAsia="Times New Roman" w:cstheme="minorHAnsi"/>
                <w:color w:val="000000"/>
              </w:rPr>
            </w:pPr>
            <w:r w:rsidRPr="00830BAD">
              <w:rPr>
                <w:rFonts w:eastAsia="Times New Roman" w:cstheme="minorHAnsi"/>
                <w:color w:val="000000"/>
              </w:rPr>
              <w:t>73</w:t>
            </w:r>
          </w:p>
        </w:tc>
        <w:tc>
          <w:tcPr>
            <w:tcW w:w="1843" w:type="dxa"/>
            <w:tcBorders>
              <w:top w:val="nil"/>
              <w:left w:val="nil"/>
              <w:bottom w:val="nil"/>
              <w:right w:val="nil"/>
            </w:tcBorders>
            <w:shd w:val="clear" w:color="auto" w:fill="auto"/>
            <w:noWrap/>
            <w:vAlign w:val="center"/>
            <w:hideMark/>
          </w:tcPr>
          <w:p w14:paraId="7DB4190D" w14:textId="7D539A17" w:rsidR="005D15F4" w:rsidRPr="00830BAD" w:rsidRDefault="00C465DA" w:rsidP="00830BAD">
            <w:pPr>
              <w:spacing w:after="0" w:line="240" w:lineRule="auto"/>
              <w:jc w:val="both"/>
              <w:rPr>
                <w:rFonts w:eastAsia="Times New Roman" w:cstheme="minorHAnsi"/>
                <w:color w:val="000000"/>
              </w:rPr>
            </w:pPr>
            <w:r>
              <w:rPr>
                <w:rFonts w:eastAsia="Times New Roman" w:cstheme="minorHAnsi"/>
                <w:color w:val="000000"/>
              </w:rPr>
              <w:t>57.</w:t>
            </w:r>
            <w:r w:rsidR="005D15F4" w:rsidRPr="00830BAD">
              <w:rPr>
                <w:rFonts w:eastAsia="Times New Roman" w:cstheme="minorHAnsi"/>
                <w:color w:val="000000"/>
              </w:rPr>
              <w:t>0</w:t>
            </w:r>
          </w:p>
        </w:tc>
      </w:tr>
      <w:tr w:rsidR="005D15F4" w:rsidRPr="00830BAD" w14:paraId="522AD90D" w14:textId="77777777" w:rsidTr="00372B69">
        <w:trPr>
          <w:trHeight w:val="300"/>
        </w:trPr>
        <w:tc>
          <w:tcPr>
            <w:tcW w:w="480" w:type="dxa"/>
            <w:tcBorders>
              <w:top w:val="nil"/>
              <w:left w:val="nil"/>
              <w:bottom w:val="nil"/>
              <w:right w:val="nil"/>
            </w:tcBorders>
            <w:shd w:val="clear" w:color="auto" w:fill="auto"/>
            <w:noWrap/>
            <w:vAlign w:val="center"/>
          </w:tcPr>
          <w:p w14:paraId="76DFC6D8" w14:textId="77777777" w:rsidR="005D15F4" w:rsidRPr="00830BAD" w:rsidRDefault="005D15F4" w:rsidP="00830BAD">
            <w:pPr>
              <w:spacing w:after="0" w:line="240" w:lineRule="auto"/>
              <w:jc w:val="both"/>
              <w:rPr>
                <w:rFonts w:eastAsia="Times New Roman" w:cstheme="minorHAnsi"/>
                <w:color w:val="000000"/>
              </w:rPr>
            </w:pPr>
          </w:p>
        </w:tc>
        <w:tc>
          <w:tcPr>
            <w:tcW w:w="3348" w:type="dxa"/>
            <w:tcBorders>
              <w:top w:val="nil"/>
              <w:left w:val="nil"/>
              <w:bottom w:val="nil"/>
              <w:right w:val="nil"/>
            </w:tcBorders>
            <w:shd w:val="clear" w:color="auto" w:fill="auto"/>
            <w:noWrap/>
            <w:vAlign w:val="center"/>
            <w:hideMark/>
          </w:tcPr>
          <w:p w14:paraId="01DC4E1A" w14:textId="77777777" w:rsidR="005D15F4" w:rsidRPr="00830BAD" w:rsidRDefault="005D15F4" w:rsidP="00830BAD">
            <w:pPr>
              <w:spacing w:after="0" w:line="240" w:lineRule="auto"/>
              <w:ind w:firstLineChars="100" w:firstLine="220"/>
              <w:jc w:val="both"/>
              <w:rPr>
                <w:rFonts w:eastAsia="Times New Roman" w:cstheme="minorHAnsi"/>
                <w:color w:val="000000"/>
              </w:rPr>
            </w:pPr>
            <w:r w:rsidRPr="00830BAD">
              <w:rPr>
                <w:rFonts w:eastAsia="Times New Roman" w:cstheme="minorHAnsi"/>
                <w:color w:val="000000"/>
              </w:rPr>
              <w:t>More</w:t>
            </w:r>
          </w:p>
        </w:tc>
        <w:tc>
          <w:tcPr>
            <w:tcW w:w="1842" w:type="dxa"/>
            <w:tcBorders>
              <w:top w:val="nil"/>
              <w:left w:val="nil"/>
              <w:bottom w:val="nil"/>
              <w:right w:val="nil"/>
            </w:tcBorders>
            <w:shd w:val="clear" w:color="auto" w:fill="auto"/>
            <w:noWrap/>
            <w:vAlign w:val="center"/>
            <w:hideMark/>
          </w:tcPr>
          <w:p w14:paraId="7BACDD3C" w14:textId="77777777" w:rsidR="005D15F4" w:rsidRPr="00830BAD" w:rsidRDefault="005D15F4" w:rsidP="00830BAD">
            <w:pPr>
              <w:spacing w:after="0" w:line="240" w:lineRule="auto"/>
              <w:jc w:val="both"/>
              <w:rPr>
                <w:rFonts w:eastAsia="Times New Roman" w:cstheme="minorHAnsi"/>
                <w:color w:val="000000"/>
              </w:rPr>
            </w:pPr>
            <w:r w:rsidRPr="00830BAD">
              <w:rPr>
                <w:rFonts w:eastAsia="Times New Roman" w:cstheme="minorHAnsi"/>
                <w:color w:val="000000"/>
              </w:rPr>
              <w:t>24</w:t>
            </w:r>
          </w:p>
        </w:tc>
        <w:tc>
          <w:tcPr>
            <w:tcW w:w="1843" w:type="dxa"/>
            <w:tcBorders>
              <w:top w:val="nil"/>
              <w:left w:val="nil"/>
              <w:bottom w:val="nil"/>
              <w:right w:val="nil"/>
            </w:tcBorders>
            <w:shd w:val="clear" w:color="auto" w:fill="auto"/>
            <w:noWrap/>
            <w:vAlign w:val="center"/>
            <w:hideMark/>
          </w:tcPr>
          <w:p w14:paraId="31B043EE" w14:textId="2CD2D5BF" w:rsidR="005D15F4" w:rsidRPr="00830BAD" w:rsidRDefault="00C465DA" w:rsidP="00830BAD">
            <w:pPr>
              <w:spacing w:after="0" w:line="240" w:lineRule="auto"/>
              <w:jc w:val="both"/>
              <w:rPr>
                <w:rFonts w:eastAsia="Times New Roman" w:cstheme="minorHAnsi"/>
                <w:color w:val="000000"/>
              </w:rPr>
            </w:pPr>
            <w:r>
              <w:rPr>
                <w:rFonts w:eastAsia="Times New Roman" w:cstheme="minorHAnsi"/>
                <w:color w:val="000000"/>
              </w:rPr>
              <w:t>18.</w:t>
            </w:r>
            <w:r w:rsidR="005D15F4" w:rsidRPr="00830BAD">
              <w:rPr>
                <w:rFonts w:eastAsia="Times New Roman" w:cstheme="minorHAnsi"/>
                <w:color w:val="000000"/>
              </w:rPr>
              <w:t>8</w:t>
            </w:r>
          </w:p>
        </w:tc>
      </w:tr>
      <w:tr w:rsidR="005D15F4" w:rsidRPr="00830BAD" w14:paraId="076FB01A" w14:textId="77777777" w:rsidTr="00372B69">
        <w:trPr>
          <w:trHeight w:val="300"/>
        </w:trPr>
        <w:tc>
          <w:tcPr>
            <w:tcW w:w="480" w:type="dxa"/>
            <w:tcBorders>
              <w:top w:val="nil"/>
              <w:left w:val="nil"/>
              <w:bottom w:val="nil"/>
              <w:right w:val="nil"/>
            </w:tcBorders>
            <w:shd w:val="clear" w:color="auto" w:fill="auto"/>
            <w:noWrap/>
            <w:vAlign w:val="center"/>
          </w:tcPr>
          <w:p w14:paraId="50D5AE86" w14:textId="77777777" w:rsidR="005D15F4" w:rsidRPr="00830BAD" w:rsidRDefault="005D15F4" w:rsidP="00830BAD">
            <w:pPr>
              <w:spacing w:after="0" w:line="240" w:lineRule="auto"/>
              <w:jc w:val="both"/>
              <w:rPr>
                <w:rFonts w:eastAsia="Times New Roman" w:cstheme="minorHAnsi"/>
                <w:color w:val="000000"/>
              </w:rPr>
            </w:pPr>
          </w:p>
        </w:tc>
        <w:tc>
          <w:tcPr>
            <w:tcW w:w="3348" w:type="dxa"/>
            <w:tcBorders>
              <w:top w:val="nil"/>
              <w:left w:val="nil"/>
              <w:bottom w:val="nil"/>
              <w:right w:val="nil"/>
            </w:tcBorders>
            <w:shd w:val="clear" w:color="auto" w:fill="auto"/>
            <w:noWrap/>
            <w:vAlign w:val="center"/>
            <w:hideMark/>
          </w:tcPr>
          <w:p w14:paraId="30952C9D" w14:textId="77777777" w:rsidR="005D15F4" w:rsidRPr="00830BAD" w:rsidRDefault="005D15F4" w:rsidP="00830BAD">
            <w:pPr>
              <w:spacing w:after="0" w:line="240" w:lineRule="auto"/>
              <w:ind w:firstLineChars="100" w:firstLine="220"/>
              <w:jc w:val="both"/>
              <w:rPr>
                <w:rFonts w:eastAsia="Times New Roman" w:cstheme="minorHAnsi"/>
                <w:color w:val="000000"/>
              </w:rPr>
            </w:pPr>
            <w:r w:rsidRPr="00830BAD">
              <w:rPr>
                <w:rFonts w:eastAsia="Times New Roman" w:cstheme="minorHAnsi"/>
                <w:color w:val="000000"/>
              </w:rPr>
              <w:t>Good</w:t>
            </w:r>
          </w:p>
        </w:tc>
        <w:tc>
          <w:tcPr>
            <w:tcW w:w="1842" w:type="dxa"/>
            <w:tcBorders>
              <w:top w:val="nil"/>
              <w:left w:val="nil"/>
              <w:bottom w:val="nil"/>
              <w:right w:val="nil"/>
            </w:tcBorders>
            <w:shd w:val="clear" w:color="auto" w:fill="auto"/>
            <w:noWrap/>
            <w:vAlign w:val="center"/>
            <w:hideMark/>
          </w:tcPr>
          <w:p w14:paraId="65DD4605" w14:textId="77777777" w:rsidR="005D15F4" w:rsidRPr="00830BAD" w:rsidRDefault="005D15F4" w:rsidP="00830BAD">
            <w:pPr>
              <w:spacing w:after="0" w:line="240" w:lineRule="auto"/>
              <w:jc w:val="both"/>
              <w:rPr>
                <w:rFonts w:eastAsia="Times New Roman" w:cstheme="minorHAnsi"/>
                <w:color w:val="000000"/>
              </w:rPr>
            </w:pPr>
            <w:r w:rsidRPr="00830BAD">
              <w:rPr>
                <w:rFonts w:eastAsia="Times New Roman" w:cstheme="minorHAnsi"/>
                <w:color w:val="000000"/>
              </w:rPr>
              <w:t>31</w:t>
            </w:r>
          </w:p>
        </w:tc>
        <w:tc>
          <w:tcPr>
            <w:tcW w:w="1843" w:type="dxa"/>
            <w:tcBorders>
              <w:top w:val="nil"/>
              <w:left w:val="nil"/>
              <w:bottom w:val="nil"/>
              <w:right w:val="nil"/>
            </w:tcBorders>
            <w:shd w:val="clear" w:color="auto" w:fill="auto"/>
            <w:noWrap/>
            <w:vAlign w:val="center"/>
            <w:hideMark/>
          </w:tcPr>
          <w:p w14:paraId="74D4167D" w14:textId="746079F7" w:rsidR="005D15F4" w:rsidRPr="00830BAD" w:rsidRDefault="00C465DA" w:rsidP="00830BAD">
            <w:pPr>
              <w:spacing w:after="0" w:line="240" w:lineRule="auto"/>
              <w:jc w:val="both"/>
              <w:rPr>
                <w:rFonts w:eastAsia="Times New Roman" w:cstheme="minorHAnsi"/>
                <w:color w:val="000000"/>
              </w:rPr>
            </w:pPr>
            <w:r>
              <w:rPr>
                <w:rFonts w:eastAsia="Times New Roman" w:cstheme="minorHAnsi"/>
                <w:color w:val="000000"/>
              </w:rPr>
              <w:t>24.</w:t>
            </w:r>
            <w:r w:rsidR="005D15F4" w:rsidRPr="00830BAD">
              <w:rPr>
                <w:rFonts w:eastAsia="Times New Roman" w:cstheme="minorHAnsi"/>
                <w:color w:val="000000"/>
              </w:rPr>
              <w:t>2</w:t>
            </w:r>
          </w:p>
        </w:tc>
      </w:tr>
      <w:tr w:rsidR="005D15F4" w:rsidRPr="00830BAD" w14:paraId="6714F1C5" w14:textId="77777777" w:rsidTr="00372B69">
        <w:trPr>
          <w:trHeight w:val="300"/>
        </w:trPr>
        <w:tc>
          <w:tcPr>
            <w:tcW w:w="480" w:type="dxa"/>
            <w:tcBorders>
              <w:top w:val="nil"/>
              <w:left w:val="nil"/>
              <w:bottom w:val="nil"/>
              <w:right w:val="nil"/>
            </w:tcBorders>
            <w:shd w:val="clear" w:color="auto" w:fill="auto"/>
            <w:noWrap/>
            <w:vAlign w:val="center"/>
          </w:tcPr>
          <w:p w14:paraId="62C37E21" w14:textId="69107D94" w:rsidR="005D15F4" w:rsidRPr="00830BAD" w:rsidRDefault="005D15F4" w:rsidP="00830BAD">
            <w:pPr>
              <w:spacing w:after="0" w:line="240" w:lineRule="auto"/>
              <w:jc w:val="both"/>
              <w:rPr>
                <w:rFonts w:eastAsia="Times New Roman" w:cstheme="minorHAnsi"/>
                <w:b/>
                <w:bCs/>
                <w:color w:val="000000"/>
              </w:rPr>
            </w:pPr>
          </w:p>
        </w:tc>
        <w:tc>
          <w:tcPr>
            <w:tcW w:w="3348" w:type="dxa"/>
            <w:tcBorders>
              <w:top w:val="nil"/>
              <w:left w:val="nil"/>
              <w:bottom w:val="nil"/>
              <w:right w:val="nil"/>
            </w:tcBorders>
            <w:shd w:val="clear" w:color="auto" w:fill="auto"/>
            <w:noWrap/>
            <w:vAlign w:val="center"/>
            <w:hideMark/>
          </w:tcPr>
          <w:p w14:paraId="00CAAA09" w14:textId="77777777" w:rsidR="005D15F4" w:rsidRPr="00830BAD" w:rsidRDefault="005D15F4" w:rsidP="00830BAD">
            <w:pPr>
              <w:spacing w:after="0" w:line="240" w:lineRule="auto"/>
              <w:jc w:val="both"/>
              <w:rPr>
                <w:rFonts w:eastAsia="Times New Roman" w:cstheme="minorHAnsi"/>
                <w:b/>
                <w:bCs/>
                <w:color w:val="000000"/>
              </w:rPr>
            </w:pPr>
            <w:r w:rsidRPr="00830BAD">
              <w:rPr>
                <w:rFonts w:eastAsia="Times New Roman" w:cstheme="minorHAnsi"/>
                <w:b/>
                <w:bCs/>
                <w:color w:val="000000"/>
              </w:rPr>
              <w:t>Stress</w:t>
            </w:r>
          </w:p>
        </w:tc>
        <w:tc>
          <w:tcPr>
            <w:tcW w:w="1842" w:type="dxa"/>
            <w:tcBorders>
              <w:top w:val="nil"/>
              <w:left w:val="nil"/>
              <w:bottom w:val="nil"/>
              <w:right w:val="nil"/>
            </w:tcBorders>
            <w:shd w:val="clear" w:color="auto" w:fill="auto"/>
            <w:noWrap/>
            <w:vAlign w:val="center"/>
            <w:hideMark/>
          </w:tcPr>
          <w:p w14:paraId="79E9B9E9" w14:textId="77777777" w:rsidR="005D15F4" w:rsidRPr="00830BAD" w:rsidRDefault="005D15F4" w:rsidP="00830BAD">
            <w:pPr>
              <w:spacing w:after="0" w:line="240" w:lineRule="auto"/>
              <w:jc w:val="both"/>
              <w:rPr>
                <w:rFonts w:eastAsia="Times New Roman" w:cstheme="minorHAnsi"/>
                <w:b/>
                <w:bCs/>
                <w:color w:val="000000"/>
              </w:rPr>
            </w:pPr>
          </w:p>
        </w:tc>
        <w:tc>
          <w:tcPr>
            <w:tcW w:w="1843" w:type="dxa"/>
            <w:tcBorders>
              <w:top w:val="nil"/>
              <w:left w:val="nil"/>
              <w:bottom w:val="nil"/>
              <w:right w:val="nil"/>
            </w:tcBorders>
            <w:shd w:val="clear" w:color="auto" w:fill="auto"/>
            <w:noWrap/>
            <w:vAlign w:val="center"/>
            <w:hideMark/>
          </w:tcPr>
          <w:p w14:paraId="168E2B04" w14:textId="77777777" w:rsidR="005D15F4" w:rsidRPr="00830BAD" w:rsidRDefault="005D15F4" w:rsidP="00830BAD">
            <w:pPr>
              <w:spacing w:after="0" w:line="240" w:lineRule="auto"/>
              <w:jc w:val="both"/>
              <w:rPr>
                <w:rFonts w:eastAsia="Times New Roman" w:cstheme="minorHAnsi"/>
              </w:rPr>
            </w:pPr>
          </w:p>
        </w:tc>
      </w:tr>
      <w:tr w:rsidR="005D15F4" w:rsidRPr="00830BAD" w14:paraId="01EF4ACA" w14:textId="77777777" w:rsidTr="00372B69">
        <w:trPr>
          <w:trHeight w:val="300"/>
        </w:trPr>
        <w:tc>
          <w:tcPr>
            <w:tcW w:w="480" w:type="dxa"/>
            <w:tcBorders>
              <w:top w:val="nil"/>
              <w:left w:val="nil"/>
              <w:bottom w:val="nil"/>
              <w:right w:val="nil"/>
            </w:tcBorders>
            <w:shd w:val="clear" w:color="auto" w:fill="auto"/>
            <w:noWrap/>
            <w:vAlign w:val="center"/>
          </w:tcPr>
          <w:p w14:paraId="298C110C" w14:textId="77777777" w:rsidR="005D15F4" w:rsidRPr="00830BAD" w:rsidRDefault="005D15F4" w:rsidP="00830BAD">
            <w:pPr>
              <w:spacing w:after="0" w:line="240" w:lineRule="auto"/>
              <w:jc w:val="both"/>
              <w:rPr>
                <w:rFonts w:eastAsia="Times New Roman" w:cstheme="minorHAnsi"/>
              </w:rPr>
            </w:pPr>
          </w:p>
        </w:tc>
        <w:tc>
          <w:tcPr>
            <w:tcW w:w="3348" w:type="dxa"/>
            <w:tcBorders>
              <w:top w:val="nil"/>
              <w:left w:val="nil"/>
              <w:bottom w:val="nil"/>
              <w:right w:val="nil"/>
            </w:tcBorders>
            <w:shd w:val="clear" w:color="auto" w:fill="auto"/>
            <w:noWrap/>
            <w:vAlign w:val="center"/>
            <w:hideMark/>
          </w:tcPr>
          <w:p w14:paraId="7D76C436" w14:textId="77777777" w:rsidR="005D15F4" w:rsidRPr="00830BAD" w:rsidRDefault="005D15F4" w:rsidP="00830BAD">
            <w:pPr>
              <w:spacing w:after="0" w:line="240" w:lineRule="auto"/>
              <w:jc w:val="both"/>
              <w:rPr>
                <w:rFonts w:eastAsia="Times New Roman" w:cstheme="minorHAnsi"/>
                <w:color w:val="000000"/>
              </w:rPr>
            </w:pPr>
            <w:r w:rsidRPr="00830BAD">
              <w:rPr>
                <w:rFonts w:eastAsia="Times New Roman" w:cstheme="minorHAnsi"/>
                <w:color w:val="000000"/>
              </w:rPr>
              <w:t>Normal</w:t>
            </w:r>
          </w:p>
        </w:tc>
        <w:tc>
          <w:tcPr>
            <w:tcW w:w="1842" w:type="dxa"/>
            <w:tcBorders>
              <w:top w:val="nil"/>
              <w:left w:val="nil"/>
              <w:bottom w:val="nil"/>
              <w:right w:val="nil"/>
            </w:tcBorders>
            <w:shd w:val="clear" w:color="auto" w:fill="auto"/>
            <w:noWrap/>
            <w:vAlign w:val="center"/>
            <w:hideMark/>
          </w:tcPr>
          <w:p w14:paraId="50523710" w14:textId="77777777" w:rsidR="005D15F4" w:rsidRPr="00830BAD" w:rsidRDefault="005D15F4" w:rsidP="00830BAD">
            <w:pPr>
              <w:spacing w:after="0" w:line="240" w:lineRule="auto"/>
              <w:jc w:val="both"/>
              <w:rPr>
                <w:rFonts w:eastAsia="Times New Roman" w:cstheme="minorHAnsi"/>
                <w:color w:val="000000"/>
              </w:rPr>
            </w:pPr>
            <w:r w:rsidRPr="00830BAD">
              <w:rPr>
                <w:rFonts w:eastAsia="Times New Roman" w:cstheme="minorHAnsi"/>
                <w:color w:val="000000"/>
              </w:rPr>
              <w:t>36</w:t>
            </w:r>
          </w:p>
        </w:tc>
        <w:tc>
          <w:tcPr>
            <w:tcW w:w="1843" w:type="dxa"/>
            <w:tcBorders>
              <w:top w:val="nil"/>
              <w:left w:val="nil"/>
              <w:bottom w:val="nil"/>
              <w:right w:val="nil"/>
            </w:tcBorders>
            <w:shd w:val="clear" w:color="auto" w:fill="auto"/>
            <w:noWrap/>
            <w:vAlign w:val="center"/>
            <w:hideMark/>
          </w:tcPr>
          <w:p w14:paraId="7D174CEE" w14:textId="2930B847" w:rsidR="005D15F4" w:rsidRPr="00830BAD" w:rsidRDefault="00C465DA" w:rsidP="00830BAD">
            <w:pPr>
              <w:spacing w:after="0" w:line="240" w:lineRule="auto"/>
              <w:jc w:val="both"/>
              <w:rPr>
                <w:rFonts w:eastAsia="Times New Roman" w:cstheme="minorHAnsi"/>
                <w:color w:val="000000"/>
              </w:rPr>
            </w:pPr>
            <w:r>
              <w:rPr>
                <w:rFonts w:eastAsia="Times New Roman" w:cstheme="minorHAnsi"/>
                <w:color w:val="000000"/>
              </w:rPr>
              <w:t>28.</w:t>
            </w:r>
            <w:r w:rsidR="005D15F4" w:rsidRPr="00830BAD">
              <w:rPr>
                <w:rFonts w:eastAsia="Times New Roman" w:cstheme="minorHAnsi"/>
                <w:color w:val="000000"/>
              </w:rPr>
              <w:t>1</w:t>
            </w:r>
          </w:p>
        </w:tc>
      </w:tr>
      <w:tr w:rsidR="005D15F4" w:rsidRPr="00830BAD" w14:paraId="6AFC4369" w14:textId="77777777" w:rsidTr="00372B69">
        <w:trPr>
          <w:trHeight w:val="300"/>
        </w:trPr>
        <w:tc>
          <w:tcPr>
            <w:tcW w:w="480" w:type="dxa"/>
            <w:tcBorders>
              <w:top w:val="nil"/>
              <w:left w:val="nil"/>
              <w:bottom w:val="nil"/>
              <w:right w:val="nil"/>
            </w:tcBorders>
            <w:shd w:val="clear" w:color="auto" w:fill="auto"/>
            <w:noWrap/>
            <w:vAlign w:val="center"/>
          </w:tcPr>
          <w:p w14:paraId="5414D277" w14:textId="77777777" w:rsidR="005D15F4" w:rsidRPr="00830BAD" w:rsidRDefault="005D15F4" w:rsidP="00830BAD">
            <w:pPr>
              <w:spacing w:after="0" w:line="240" w:lineRule="auto"/>
              <w:jc w:val="both"/>
              <w:rPr>
                <w:rFonts w:eastAsia="Times New Roman" w:cstheme="minorHAnsi"/>
                <w:color w:val="000000"/>
              </w:rPr>
            </w:pPr>
          </w:p>
        </w:tc>
        <w:tc>
          <w:tcPr>
            <w:tcW w:w="3348" w:type="dxa"/>
            <w:tcBorders>
              <w:top w:val="nil"/>
              <w:left w:val="nil"/>
              <w:bottom w:val="nil"/>
              <w:right w:val="nil"/>
            </w:tcBorders>
            <w:shd w:val="clear" w:color="auto" w:fill="auto"/>
            <w:noWrap/>
            <w:vAlign w:val="center"/>
            <w:hideMark/>
          </w:tcPr>
          <w:p w14:paraId="3DDB0A15" w14:textId="77777777" w:rsidR="005D15F4" w:rsidRPr="00830BAD" w:rsidRDefault="005D15F4" w:rsidP="00830BAD">
            <w:pPr>
              <w:spacing w:after="0" w:line="240" w:lineRule="auto"/>
              <w:jc w:val="both"/>
              <w:rPr>
                <w:rFonts w:eastAsia="Times New Roman" w:cstheme="minorHAnsi"/>
                <w:color w:val="000000"/>
              </w:rPr>
            </w:pPr>
            <w:r w:rsidRPr="00830BAD">
              <w:rPr>
                <w:rFonts w:eastAsia="Times New Roman" w:cstheme="minorHAnsi"/>
                <w:color w:val="000000"/>
              </w:rPr>
              <w:t>Mild</w:t>
            </w:r>
          </w:p>
        </w:tc>
        <w:tc>
          <w:tcPr>
            <w:tcW w:w="1842" w:type="dxa"/>
            <w:tcBorders>
              <w:top w:val="nil"/>
              <w:left w:val="nil"/>
              <w:bottom w:val="nil"/>
              <w:right w:val="nil"/>
            </w:tcBorders>
            <w:shd w:val="clear" w:color="auto" w:fill="auto"/>
            <w:noWrap/>
            <w:vAlign w:val="center"/>
            <w:hideMark/>
          </w:tcPr>
          <w:p w14:paraId="171E92DC" w14:textId="77777777" w:rsidR="005D15F4" w:rsidRPr="00830BAD" w:rsidRDefault="005D15F4" w:rsidP="00830BAD">
            <w:pPr>
              <w:spacing w:after="0" w:line="240" w:lineRule="auto"/>
              <w:jc w:val="both"/>
              <w:rPr>
                <w:rFonts w:eastAsia="Times New Roman" w:cstheme="minorHAnsi"/>
                <w:color w:val="000000"/>
              </w:rPr>
            </w:pPr>
            <w:r w:rsidRPr="00830BAD">
              <w:rPr>
                <w:rFonts w:eastAsia="Times New Roman" w:cstheme="minorHAnsi"/>
                <w:color w:val="000000"/>
              </w:rPr>
              <w:t>36</w:t>
            </w:r>
          </w:p>
        </w:tc>
        <w:tc>
          <w:tcPr>
            <w:tcW w:w="1843" w:type="dxa"/>
            <w:tcBorders>
              <w:top w:val="nil"/>
              <w:left w:val="nil"/>
              <w:bottom w:val="nil"/>
              <w:right w:val="nil"/>
            </w:tcBorders>
            <w:shd w:val="clear" w:color="auto" w:fill="auto"/>
            <w:noWrap/>
            <w:vAlign w:val="center"/>
            <w:hideMark/>
          </w:tcPr>
          <w:p w14:paraId="0AF4C37D" w14:textId="62F7FFC8" w:rsidR="005D15F4" w:rsidRPr="00830BAD" w:rsidRDefault="00C465DA" w:rsidP="00830BAD">
            <w:pPr>
              <w:spacing w:after="0" w:line="240" w:lineRule="auto"/>
              <w:jc w:val="both"/>
              <w:rPr>
                <w:rFonts w:eastAsia="Times New Roman" w:cstheme="minorHAnsi"/>
                <w:color w:val="000000"/>
              </w:rPr>
            </w:pPr>
            <w:r>
              <w:rPr>
                <w:rFonts w:eastAsia="Times New Roman" w:cstheme="minorHAnsi"/>
                <w:color w:val="000000"/>
              </w:rPr>
              <w:t>28.</w:t>
            </w:r>
            <w:r w:rsidR="005D15F4" w:rsidRPr="00830BAD">
              <w:rPr>
                <w:rFonts w:eastAsia="Times New Roman" w:cstheme="minorHAnsi"/>
                <w:color w:val="000000"/>
              </w:rPr>
              <w:t>1</w:t>
            </w:r>
          </w:p>
        </w:tc>
      </w:tr>
      <w:tr w:rsidR="005D15F4" w:rsidRPr="00830BAD" w14:paraId="7DA30C72" w14:textId="77777777" w:rsidTr="00372B69">
        <w:trPr>
          <w:trHeight w:val="300"/>
        </w:trPr>
        <w:tc>
          <w:tcPr>
            <w:tcW w:w="480" w:type="dxa"/>
            <w:tcBorders>
              <w:top w:val="nil"/>
              <w:left w:val="nil"/>
              <w:bottom w:val="nil"/>
              <w:right w:val="nil"/>
            </w:tcBorders>
            <w:shd w:val="clear" w:color="auto" w:fill="auto"/>
            <w:noWrap/>
            <w:vAlign w:val="center"/>
          </w:tcPr>
          <w:p w14:paraId="6AB30B67" w14:textId="77777777" w:rsidR="005D15F4" w:rsidRPr="00830BAD" w:rsidRDefault="005D15F4" w:rsidP="00830BAD">
            <w:pPr>
              <w:spacing w:after="0" w:line="240" w:lineRule="auto"/>
              <w:jc w:val="both"/>
              <w:rPr>
                <w:rFonts w:eastAsia="Times New Roman" w:cstheme="minorHAnsi"/>
                <w:color w:val="000000"/>
              </w:rPr>
            </w:pPr>
          </w:p>
        </w:tc>
        <w:tc>
          <w:tcPr>
            <w:tcW w:w="3348" w:type="dxa"/>
            <w:tcBorders>
              <w:top w:val="nil"/>
              <w:left w:val="nil"/>
              <w:bottom w:val="nil"/>
              <w:right w:val="nil"/>
            </w:tcBorders>
            <w:shd w:val="clear" w:color="auto" w:fill="auto"/>
            <w:noWrap/>
            <w:vAlign w:val="center"/>
            <w:hideMark/>
          </w:tcPr>
          <w:p w14:paraId="71C95CC9" w14:textId="77777777" w:rsidR="005D15F4" w:rsidRPr="00830BAD" w:rsidRDefault="005D15F4" w:rsidP="00830BAD">
            <w:pPr>
              <w:spacing w:after="0" w:line="240" w:lineRule="auto"/>
              <w:jc w:val="both"/>
              <w:rPr>
                <w:rFonts w:eastAsia="Times New Roman" w:cstheme="minorHAnsi"/>
                <w:color w:val="000000"/>
              </w:rPr>
            </w:pPr>
            <w:r w:rsidRPr="00830BAD">
              <w:rPr>
                <w:rFonts w:eastAsia="Times New Roman" w:cstheme="minorHAnsi"/>
                <w:color w:val="000000"/>
              </w:rPr>
              <w:t>Are</w:t>
            </w:r>
          </w:p>
        </w:tc>
        <w:tc>
          <w:tcPr>
            <w:tcW w:w="1842" w:type="dxa"/>
            <w:tcBorders>
              <w:top w:val="nil"/>
              <w:left w:val="nil"/>
              <w:bottom w:val="nil"/>
              <w:right w:val="nil"/>
            </w:tcBorders>
            <w:shd w:val="clear" w:color="auto" w:fill="auto"/>
            <w:noWrap/>
            <w:vAlign w:val="center"/>
            <w:hideMark/>
          </w:tcPr>
          <w:p w14:paraId="54F97A36" w14:textId="77777777" w:rsidR="005D15F4" w:rsidRPr="00830BAD" w:rsidRDefault="005D15F4" w:rsidP="00830BAD">
            <w:pPr>
              <w:spacing w:after="0" w:line="240" w:lineRule="auto"/>
              <w:jc w:val="both"/>
              <w:rPr>
                <w:rFonts w:eastAsia="Times New Roman" w:cstheme="minorHAnsi"/>
                <w:color w:val="000000"/>
              </w:rPr>
            </w:pPr>
            <w:r w:rsidRPr="00830BAD">
              <w:rPr>
                <w:rFonts w:eastAsia="Times New Roman" w:cstheme="minorHAnsi"/>
                <w:color w:val="000000"/>
              </w:rPr>
              <w:t>42</w:t>
            </w:r>
          </w:p>
        </w:tc>
        <w:tc>
          <w:tcPr>
            <w:tcW w:w="1843" w:type="dxa"/>
            <w:tcBorders>
              <w:top w:val="nil"/>
              <w:left w:val="nil"/>
              <w:bottom w:val="nil"/>
              <w:right w:val="nil"/>
            </w:tcBorders>
            <w:shd w:val="clear" w:color="auto" w:fill="auto"/>
            <w:noWrap/>
            <w:vAlign w:val="center"/>
            <w:hideMark/>
          </w:tcPr>
          <w:p w14:paraId="01D258BD" w14:textId="20ADA7D8" w:rsidR="005D15F4" w:rsidRPr="00830BAD" w:rsidRDefault="00C465DA" w:rsidP="00830BAD">
            <w:pPr>
              <w:spacing w:after="0" w:line="240" w:lineRule="auto"/>
              <w:jc w:val="both"/>
              <w:rPr>
                <w:rFonts w:eastAsia="Times New Roman" w:cstheme="minorHAnsi"/>
                <w:color w:val="000000"/>
              </w:rPr>
            </w:pPr>
            <w:r>
              <w:rPr>
                <w:rFonts w:eastAsia="Times New Roman" w:cstheme="minorHAnsi"/>
                <w:color w:val="000000"/>
              </w:rPr>
              <w:t>32.</w:t>
            </w:r>
            <w:r w:rsidR="005D15F4" w:rsidRPr="00830BAD">
              <w:rPr>
                <w:rFonts w:eastAsia="Times New Roman" w:cstheme="minorHAnsi"/>
                <w:color w:val="000000"/>
              </w:rPr>
              <w:t>8</w:t>
            </w:r>
          </w:p>
        </w:tc>
      </w:tr>
      <w:tr w:rsidR="005D15F4" w:rsidRPr="00830BAD" w14:paraId="65C372AD" w14:textId="77777777" w:rsidTr="00372B69">
        <w:trPr>
          <w:trHeight w:val="300"/>
        </w:trPr>
        <w:tc>
          <w:tcPr>
            <w:tcW w:w="480" w:type="dxa"/>
            <w:tcBorders>
              <w:top w:val="nil"/>
              <w:left w:val="nil"/>
              <w:bottom w:val="nil"/>
              <w:right w:val="nil"/>
            </w:tcBorders>
            <w:shd w:val="clear" w:color="auto" w:fill="auto"/>
            <w:noWrap/>
            <w:vAlign w:val="center"/>
          </w:tcPr>
          <w:p w14:paraId="73215DAF" w14:textId="77777777" w:rsidR="005D15F4" w:rsidRPr="00830BAD" w:rsidRDefault="005D15F4" w:rsidP="00830BAD">
            <w:pPr>
              <w:spacing w:after="0" w:line="240" w:lineRule="auto"/>
              <w:jc w:val="both"/>
              <w:rPr>
                <w:rFonts w:eastAsia="Times New Roman" w:cstheme="minorHAnsi"/>
                <w:color w:val="000000"/>
              </w:rPr>
            </w:pPr>
          </w:p>
        </w:tc>
        <w:tc>
          <w:tcPr>
            <w:tcW w:w="3348" w:type="dxa"/>
            <w:tcBorders>
              <w:top w:val="nil"/>
              <w:left w:val="nil"/>
              <w:bottom w:val="nil"/>
              <w:right w:val="nil"/>
            </w:tcBorders>
            <w:shd w:val="clear" w:color="auto" w:fill="auto"/>
            <w:noWrap/>
            <w:vAlign w:val="center"/>
            <w:hideMark/>
          </w:tcPr>
          <w:p w14:paraId="62140579" w14:textId="77777777" w:rsidR="005D15F4" w:rsidRPr="00830BAD" w:rsidRDefault="005D15F4" w:rsidP="00830BAD">
            <w:pPr>
              <w:spacing w:after="0" w:line="240" w:lineRule="auto"/>
              <w:jc w:val="both"/>
              <w:rPr>
                <w:rFonts w:eastAsia="Times New Roman" w:cstheme="minorHAnsi"/>
                <w:color w:val="000000"/>
              </w:rPr>
            </w:pPr>
            <w:r w:rsidRPr="00830BAD">
              <w:rPr>
                <w:rFonts w:eastAsia="Times New Roman" w:cstheme="minorHAnsi"/>
                <w:color w:val="000000"/>
              </w:rPr>
              <w:t>Severe</w:t>
            </w:r>
          </w:p>
        </w:tc>
        <w:tc>
          <w:tcPr>
            <w:tcW w:w="1842" w:type="dxa"/>
            <w:tcBorders>
              <w:top w:val="nil"/>
              <w:left w:val="nil"/>
              <w:bottom w:val="nil"/>
              <w:right w:val="nil"/>
            </w:tcBorders>
            <w:shd w:val="clear" w:color="auto" w:fill="auto"/>
            <w:noWrap/>
            <w:vAlign w:val="center"/>
            <w:hideMark/>
          </w:tcPr>
          <w:p w14:paraId="3522D963" w14:textId="77777777" w:rsidR="005D15F4" w:rsidRPr="00830BAD" w:rsidRDefault="005D15F4" w:rsidP="00830BAD">
            <w:pPr>
              <w:spacing w:after="0" w:line="240" w:lineRule="auto"/>
              <w:jc w:val="both"/>
              <w:rPr>
                <w:rFonts w:eastAsia="Times New Roman" w:cstheme="minorHAnsi"/>
                <w:color w:val="000000"/>
              </w:rPr>
            </w:pPr>
            <w:r w:rsidRPr="00830BAD">
              <w:rPr>
                <w:rFonts w:eastAsia="Times New Roman" w:cstheme="minorHAnsi"/>
                <w:color w:val="000000"/>
              </w:rPr>
              <w:t>13</w:t>
            </w:r>
          </w:p>
        </w:tc>
        <w:tc>
          <w:tcPr>
            <w:tcW w:w="1843" w:type="dxa"/>
            <w:tcBorders>
              <w:top w:val="nil"/>
              <w:left w:val="nil"/>
              <w:bottom w:val="nil"/>
              <w:right w:val="nil"/>
            </w:tcBorders>
            <w:shd w:val="clear" w:color="auto" w:fill="auto"/>
            <w:noWrap/>
            <w:vAlign w:val="center"/>
            <w:hideMark/>
          </w:tcPr>
          <w:p w14:paraId="14FA6A0F" w14:textId="0C44E819" w:rsidR="005D15F4" w:rsidRPr="00830BAD" w:rsidRDefault="00C465DA" w:rsidP="00830BAD">
            <w:pPr>
              <w:spacing w:after="0" w:line="240" w:lineRule="auto"/>
              <w:jc w:val="both"/>
              <w:rPr>
                <w:rFonts w:eastAsia="Times New Roman" w:cstheme="minorHAnsi"/>
                <w:color w:val="000000"/>
              </w:rPr>
            </w:pPr>
            <w:r>
              <w:rPr>
                <w:rFonts w:eastAsia="Times New Roman" w:cstheme="minorHAnsi"/>
                <w:color w:val="000000"/>
              </w:rPr>
              <w:t>10.</w:t>
            </w:r>
            <w:r w:rsidR="005D15F4" w:rsidRPr="00830BAD">
              <w:rPr>
                <w:rFonts w:eastAsia="Times New Roman" w:cstheme="minorHAnsi"/>
                <w:color w:val="000000"/>
              </w:rPr>
              <w:t>2</w:t>
            </w:r>
          </w:p>
        </w:tc>
      </w:tr>
      <w:tr w:rsidR="005D15F4" w:rsidRPr="00830BAD" w14:paraId="474D28F6" w14:textId="77777777" w:rsidTr="00372B69">
        <w:trPr>
          <w:trHeight w:val="300"/>
        </w:trPr>
        <w:tc>
          <w:tcPr>
            <w:tcW w:w="480" w:type="dxa"/>
            <w:tcBorders>
              <w:top w:val="nil"/>
              <w:left w:val="nil"/>
              <w:bottom w:val="nil"/>
              <w:right w:val="nil"/>
            </w:tcBorders>
            <w:shd w:val="clear" w:color="auto" w:fill="auto"/>
            <w:noWrap/>
            <w:vAlign w:val="center"/>
          </w:tcPr>
          <w:p w14:paraId="16133DA7" w14:textId="77777777" w:rsidR="005D15F4" w:rsidRPr="00830BAD" w:rsidRDefault="005D15F4" w:rsidP="00830BAD">
            <w:pPr>
              <w:spacing w:after="0" w:line="240" w:lineRule="auto"/>
              <w:jc w:val="both"/>
              <w:rPr>
                <w:rFonts w:eastAsia="Times New Roman" w:cstheme="minorHAnsi"/>
                <w:color w:val="000000"/>
              </w:rPr>
            </w:pPr>
          </w:p>
        </w:tc>
        <w:tc>
          <w:tcPr>
            <w:tcW w:w="3348" w:type="dxa"/>
            <w:tcBorders>
              <w:top w:val="nil"/>
              <w:left w:val="nil"/>
              <w:bottom w:val="nil"/>
              <w:right w:val="nil"/>
            </w:tcBorders>
            <w:shd w:val="clear" w:color="auto" w:fill="auto"/>
            <w:noWrap/>
            <w:vAlign w:val="center"/>
            <w:hideMark/>
          </w:tcPr>
          <w:p w14:paraId="7B30EB3C" w14:textId="77777777" w:rsidR="005D15F4" w:rsidRPr="00830BAD" w:rsidRDefault="005D15F4" w:rsidP="00830BAD">
            <w:pPr>
              <w:spacing w:after="0" w:line="240" w:lineRule="auto"/>
              <w:jc w:val="both"/>
              <w:rPr>
                <w:rFonts w:eastAsia="Times New Roman" w:cstheme="minorHAnsi"/>
                <w:color w:val="000000"/>
              </w:rPr>
            </w:pPr>
            <w:r w:rsidRPr="00830BAD">
              <w:rPr>
                <w:rFonts w:eastAsia="Times New Roman" w:cstheme="minorHAnsi"/>
                <w:color w:val="000000"/>
              </w:rPr>
              <w:t>Very severe</w:t>
            </w:r>
          </w:p>
        </w:tc>
        <w:tc>
          <w:tcPr>
            <w:tcW w:w="1842" w:type="dxa"/>
            <w:tcBorders>
              <w:top w:val="nil"/>
              <w:left w:val="nil"/>
              <w:bottom w:val="nil"/>
              <w:right w:val="nil"/>
            </w:tcBorders>
            <w:shd w:val="clear" w:color="auto" w:fill="auto"/>
            <w:noWrap/>
            <w:vAlign w:val="center"/>
            <w:hideMark/>
          </w:tcPr>
          <w:p w14:paraId="1EBD4626" w14:textId="77777777" w:rsidR="005D15F4" w:rsidRPr="00830BAD" w:rsidRDefault="005D15F4" w:rsidP="00830BAD">
            <w:pPr>
              <w:spacing w:after="0" w:line="240" w:lineRule="auto"/>
              <w:jc w:val="both"/>
              <w:rPr>
                <w:rFonts w:eastAsia="Times New Roman" w:cstheme="minorHAnsi"/>
                <w:color w:val="000000"/>
              </w:rPr>
            </w:pPr>
            <w:r w:rsidRPr="00830BAD">
              <w:rPr>
                <w:rFonts w:eastAsia="Times New Roman" w:cstheme="minorHAnsi"/>
                <w:color w:val="000000"/>
              </w:rPr>
              <w:t>1</w:t>
            </w:r>
          </w:p>
        </w:tc>
        <w:tc>
          <w:tcPr>
            <w:tcW w:w="1843" w:type="dxa"/>
            <w:tcBorders>
              <w:top w:val="nil"/>
              <w:left w:val="nil"/>
              <w:bottom w:val="nil"/>
              <w:right w:val="nil"/>
            </w:tcBorders>
            <w:shd w:val="clear" w:color="auto" w:fill="auto"/>
            <w:noWrap/>
            <w:vAlign w:val="center"/>
            <w:hideMark/>
          </w:tcPr>
          <w:p w14:paraId="5E38E244" w14:textId="1942A120" w:rsidR="005D15F4" w:rsidRPr="00830BAD" w:rsidRDefault="00C465DA" w:rsidP="00830BAD">
            <w:pPr>
              <w:spacing w:after="0" w:line="240" w:lineRule="auto"/>
              <w:jc w:val="both"/>
              <w:rPr>
                <w:rFonts w:eastAsia="Times New Roman" w:cstheme="minorHAnsi"/>
                <w:color w:val="000000"/>
              </w:rPr>
            </w:pPr>
            <w:r>
              <w:rPr>
                <w:rFonts w:eastAsia="Times New Roman" w:cstheme="minorHAnsi"/>
                <w:color w:val="000000"/>
              </w:rPr>
              <w:t>0.</w:t>
            </w:r>
            <w:r w:rsidR="005D15F4" w:rsidRPr="00830BAD">
              <w:rPr>
                <w:rFonts w:eastAsia="Times New Roman" w:cstheme="minorHAnsi"/>
                <w:color w:val="000000"/>
              </w:rPr>
              <w:t>8</w:t>
            </w:r>
          </w:p>
        </w:tc>
      </w:tr>
      <w:tr w:rsidR="005D15F4" w:rsidRPr="00830BAD" w14:paraId="57A8492B" w14:textId="77777777" w:rsidTr="00372B69">
        <w:trPr>
          <w:trHeight w:val="300"/>
        </w:trPr>
        <w:tc>
          <w:tcPr>
            <w:tcW w:w="480" w:type="dxa"/>
            <w:tcBorders>
              <w:top w:val="nil"/>
              <w:left w:val="nil"/>
              <w:bottom w:val="nil"/>
              <w:right w:val="nil"/>
            </w:tcBorders>
            <w:shd w:val="clear" w:color="auto" w:fill="auto"/>
            <w:noWrap/>
            <w:vAlign w:val="center"/>
          </w:tcPr>
          <w:p w14:paraId="76295289" w14:textId="38AE9146" w:rsidR="005D15F4" w:rsidRPr="00830BAD" w:rsidRDefault="005D15F4" w:rsidP="00830BAD">
            <w:pPr>
              <w:spacing w:after="0" w:line="240" w:lineRule="auto"/>
              <w:jc w:val="both"/>
              <w:rPr>
                <w:rFonts w:eastAsia="Times New Roman" w:cstheme="minorHAnsi"/>
                <w:b/>
                <w:color w:val="000000"/>
              </w:rPr>
            </w:pPr>
          </w:p>
        </w:tc>
        <w:tc>
          <w:tcPr>
            <w:tcW w:w="3348" w:type="dxa"/>
            <w:tcBorders>
              <w:top w:val="nil"/>
              <w:left w:val="nil"/>
              <w:bottom w:val="nil"/>
              <w:right w:val="nil"/>
            </w:tcBorders>
            <w:shd w:val="clear" w:color="auto" w:fill="auto"/>
            <w:noWrap/>
            <w:vAlign w:val="center"/>
            <w:hideMark/>
          </w:tcPr>
          <w:p w14:paraId="2A504490" w14:textId="77777777" w:rsidR="005D15F4" w:rsidRPr="00830BAD" w:rsidRDefault="005D15F4" w:rsidP="00830BAD">
            <w:pPr>
              <w:spacing w:after="0" w:line="240" w:lineRule="auto"/>
              <w:jc w:val="both"/>
              <w:rPr>
                <w:rFonts w:eastAsia="Times New Roman" w:cstheme="minorHAnsi"/>
                <w:b/>
                <w:color w:val="000000"/>
              </w:rPr>
            </w:pPr>
            <w:r w:rsidRPr="00830BAD">
              <w:rPr>
                <w:rFonts w:eastAsia="Times New Roman" w:cstheme="minorHAnsi"/>
                <w:b/>
                <w:color w:val="000000"/>
              </w:rPr>
              <w:t>Prostaglandins</w:t>
            </w:r>
          </w:p>
        </w:tc>
        <w:tc>
          <w:tcPr>
            <w:tcW w:w="1842" w:type="dxa"/>
            <w:tcBorders>
              <w:top w:val="nil"/>
              <w:left w:val="nil"/>
              <w:bottom w:val="nil"/>
              <w:right w:val="nil"/>
            </w:tcBorders>
            <w:shd w:val="clear" w:color="auto" w:fill="auto"/>
            <w:noWrap/>
            <w:vAlign w:val="center"/>
            <w:hideMark/>
          </w:tcPr>
          <w:p w14:paraId="64630647" w14:textId="77777777" w:rsidR="005D15F4" w:rsidRPr="00830BAD" w:rsidRDefault="005D15F4" w:rsidP="00830BAD">
            <w:pPr>
              <w:spacing w:after="0" w:line="240" w:lineRule="auto"/>
              <w:jc w:val="both"/>
              <w:rPr>
                <w:rFonts w:eastAsia="Times New Roman" w:cstheme="minorHAnsi"/>
                <w:b/>
                <w:color w:val="000000"/>
              </w:rPr>
            </w:pPr>
          </w:p>
        </w:tc>
        <w:tc>
          <w:tcPr>
            <w:tcW w:w="1843" w:type="dxa"/>
            <w:tcBorders>
              <w:top w:val="nil"/>
              <w:left w:val="nil"/>
              <w:bottom w:val="nil"/>
              <w:right w:val="nil"/>
            </w:tcBorders>
            <w:shd w:val="clear" w:color="auto" w:fill="auto"/>
            <w:noWrap/>
            <w:vAlign w:val="center"/>
            <w:hideMark/>
          </w:tcPr>
          <w:p w14:paraId="45F4B3F3" w14:textId="77777777" w:rsidR="005D15F4" w:rsidRPr="00830BAD" w:rsidRDefault="005D15F4" w:rsidP="00830BAD">
            <w:pPr>
              <w:spacing w:after="0" w:line="240" w:lineRule="auto"/>
              <w:jc w:val="both"/>
              <w:rPr>
                <w:rFonts w:eastAsia="Times New Roman" w:cstheme="minorHAnsi"/>
                <w:b/>
              </w:rPr>
            </w:pPr>
          </w:p>
        </w:tc>
      </w:tr>
      <w:tr w:rsidR="005D15F4" w:rsidRPr="00830BAD" w14:paraId="5B9B261A" w14:textId="77777777" w:rsidTr="00372B69">
        <w:trPr>
          <w:trHeight w:val="300"/>
        </w:trPr>
        <w:tc>
          <w:tcPr>
            <w:tcW w:w="480" w:type="dxa"/>
            <w:tcBorders>
              <w:top w:val="nil"/>
              <w:left w:val="nil"/>
              <w:bottom w:val="nil"/>
              <w:right w:val="nil"/>
            </w:tcBorders>
            <w:shd w:val="clear" w:color="auto" w:fill="auto"/>
            <w:noWrap/>
            <w:vAlign w:val="center"/>
          </w:tcPr>
          <w:p w14:paraId="6E0BD2EE" w14:textId="77777777" w:rsidR="005D15F4" w:rsidRPr="00830BAD" w:rsidRDefault="005D15F4" w:rsidP="00830BAD">
            <w:pPr>
              <w:spacing w:after="0" w:line="240" w:lineRule="auto"/>
              <w:jc w:val="both"/>
              <w:rPr>
                <w:rFonts w:eastAsia="Times New Roman" w:cstheme="minorHAnsi"/>
              </w:rPr>
            </w:pPr>
          </w:p>
        </w:tc>
        <w:tc>
          <w:tcPr>
            <w:tcW w:w="3348" w:type="dxa"/>
            <w:tcBorders>
              <w:top w:val="nil"/>
              <w:left w:val="nil"/>
              <w:bottom w:val="nil"/>
              <w:right w:val="nil"/>
            </w:tcBorders>
            <w:shd w:val="clear" w:color="auto" w:fill="auto"/>
            <w:noWrap/>
            <w:vAlign w:val="center"/>
            <w:hideMark/>
          </w:tcPr>
          <w:p w14:paraId="56A7EC45" w14:textId="77777777" w:rsidR="005D15F4" w:rsidRPr="00830BAD" w:rsidRDefault="005D15F4" w:rsidP="00830BAD">
            <w:pPr>
              <w:spacing w:after="0" w:line="240" w:lineRule="auto"/>
              <w:jc w:val="both"/>
              <w:rPr>
                <w:rFonts w:eastAsia="Times New Roman" w:cstheme="minorHAnsi"/>
                <w:color w:val="000000"/>
              </w:rPr>
            </w:pPr>
            <w:r w:rsidRPr="00830BAD">
              <w:rPr>
                <w:rFonts w:eastAsia="Times New Roman" w:cstheme="minorHAnsi"/>
                <w:color w:val="000000"/>
              </w:rPr>
              <w:t>Low (&lt;181.9 pg/ml)</w:t>
            </w:r>
          </w:p>
        </w:tc>
        <w:tc>
          <w:tcPr>
            <w:tcW w:w="1842" w:type="dxa"/>
            <w:tcBorders>
              <w:top w:val="nil"/>
              <w:left w:val="nil"/>
              <w:bottom w:val="nil"/>
              <w:right w:val="nil"/>
            </w:tcBorders>
            <w:shd w:val="clear" w:color="auto" w:fill="auto"/>
            <w:noWrap/>
            <w:vAlign w:val="center"/>
            <w:hideMark/>
          </w:tcPr>
          <w:p w14:paraId="031FFDFE" w14:textId="77777777" w:rsidR="005D15F4" w:rsidRPr="00830BAD" w:rsidRDefault="005D15F4" w:rsidP="00830BAD">
            <w:pPr>
              <w:spacing w:after="0" w:line="240" w:lineRule="auto"/>
              <w:jc w:val="both"/>
              <w:rPr>
                <w:rFonts w:eastAsia="Times New Roman" w:cstheme="minorHAnsi"/>
                <w:color w:val="000000"/>
              </w:rPr>
            </w:pPr>
            <w:r w:rsidRPr="00830BAD">
              <w:rPr>
                <w:rFonts w:eastAsia="Times New Roman" w:cstheme="minorHAnsi"/>
                <w:color w:val="000000"/>
              </w:rPr>
              <w:t>85</w:t>
            </w:r>
          </w:p>
        </w:tc>
        <w:tc>
          <w:tcPr>
            <w:tcW w:w="1843" w:type="dxa"/>
            <w:tcBorders>
              <w:top w:val="nil"/>
              <w:left w:val="nil"/>
              <w:bottom w:val="nil"/>
              <w:right w:val="nil"/>
            </w:tcBorders>
            <w:shd w:val="clear" w:color="auto" w:fill="auto"/>
            <w:noWrap/>
            <w:vAlign w:val="center"/>
            <w:hideMark/>
          </w:tcPr>
          <w:p w14:paraId="7D5FB477" w14:textId="77777777" w:rsidR="005D15F4" w:rsidRPr="00830BAD" w:rsidRDefault="005D15F4" w:rsidP="00830BAD">
            <w:pPr>
              <w:spacing w:after="0" w:line="240" w:lineRule="auto"/>
              <w:jc w:val="both"/>
              <w:rPr>
                <w:rFonts w:eastAsia="Times New Roman" w:cstheme="minorHAnsi"/>
                <w:color w:val="000000"/>
              </w:rPr>
            </w:pPr>
            <w:r w:rsidRPr="00830BAD">
              <w:rPr>
                <w:rFonts w:eastAsia="Times New Roman" w:cstheme="minorHAnsi"/>
                <w:color w:val="000000"/>
              </w:rPr>
              <w:t>66.4</w:t>
            </w:r>
          </w:p>
        </w:tc>
      </w:tr>
      <w:tr w:rsidR="005D15F4" w:rsidRPr="00830BAD" w14:paraId="5E827D2F" w14:textId="77777777" w:rsidTr="00372B69">
        <w:trPr>
          <w:trHeight w:val="300"/>
        </w:trPr>
        <w:tc>
          <w:tcPr>
            <w:tcW w:w="480" w:type="dxa"/>
            <w:tcBorders>
              <w:top w:val="nil"/>
              <w:left w:val="nil"/>
              <w:bottom w:val="nil"/>
              <w:right w:val="nil"/>
            </w:tcBorders>
            <w:shd w:val="clear" w:color="auto" w:fill="auto"/>
            <w:noWrap/>
            <w:vAlign w:val="center"/>
          </w:tcPr>
          <w:p w14:paraId="6A11A15D" w14:textId="77777777" w:rsidR="005D15F4" w:rsidRPr="00830BAD" w:rsidRDefault="005D15F4" w:rsidP="00830BAD">
            <w:pPr>
              <w:spacing w:after="0" w:line="240" w:lineRule="auto"/>
              <w:jc w:val="both"/>
              <w:rPr>
                <w:rFonts w:eastAsia="Times New Roman" w:cstheme="minorHAnsi"/>
                <w:color w:val="000000"/>
              </w:rPr>
            </w:pPr>
          </w:p>
        </w:tc>
        <w:tc>
          <w:tcPr>
            <w:tcW w:w="3348" w:type="dxa"/>
            <w:tcBorders>
              <w:top w:val="nil"/>
              <w:left w:val="nil"/>
              <w:bottom w:val="nil"/>
              <w:right w:val="nil"/>
            </w:tcBorders>
            <w:shd w:val="clear" w:color="auto" w:fill="auto"/>
            <w:noWrap/>
            <w:vAlign w:val="center"/>
            <w:hideMark/>
          </w:tcPr>
          <w:p w14:paraId="41685888" w14:textId="2F290DF6" w:rsidR="005D15F4" w:rsidRPr="00830BAD" w:rsidRDefault="005D15F4" w:rsidP="00830BAD">
            <w:pPr>
              <w:spacing w:after="0" w:line="240" w:lineRule="auto"/>
              <w:jc w:val="both"/>
              <w:rPr>
                <w:rFonts w:eastAsia="Times New Roman" w:cstheme="minorHAnsi"/>
                <w:color w:val="000000"/>
              </w:rPr>
            </w:pPr>
            <w:r w:rsidRPr="00830BAD">
              <w:rPr>
                <w:rFonts w:eastAsia="Times New Roman" w:cstheme="minorHAnsi"/>
                <w:color w:val="000000"/>
              </w:rPr>
              <w:t>High (</w:t>
            </w:r>
            <w:r w:rsidR="000F143A">
              <w:rPr>
                <w:rFonts w:eastAsia="Times New Roman" w:cstheme="minorHAnsi"/>
                <w:color w:val="000000"/>
              </w:rPr>
              <w:t>≥</w:t>
            </w:r>
            <w:r w:rsidRPr="00830BAD">
              <w:rPr>
                <w:rFonts w:eastAsia="Times New Roman" w:cstheme="minorHAnsi"/>
                <w:color w:val="000000"/>
              </w:rPr>
              <w:t>181.9 pg/ml)</w:t>
            </w:r>
          </w:p>
        </w:tc>
        <w:tc>
          <w:tcPr>
            <w:tcW w:w="1842" w:type="dxa"/>
            <w:tcBorders>
              <w:top w:val="nil"/>
              <w:left w:val="nil"/>
              <w:bottom w:val="nil"/>
              <w:right w:val="nil"/>
            </w:tcBorders>
            <w:shd w:val="clear" w:color="auto" w:fill="auto"/>
            <w:noWrap/>
            <w:vAlign w:val="center"/>
            <w:hideMark/>
          </w:tcPr>
          <w:p w14:paraId="5B193AE3" w14:textId="77777777" w:rsidR="005D15F4" w:rsidRPr="00830BAD" w:rsidRDefault="005D15F4" w:rsidP="00830BAD">
            <w:pPr>
              <w:spacing w:after="0" w:line="240" w:lineRule="auto"/>
              <w:jc w:val="both"/>
              <w:rPr>
                <w:rFonts w:eastAsia="Times New Roman" w:cstheme="minorHAnsi"/>
                <w:color w:val="000000"/>
              </w:rPr>
            </w:pPr>
            <w:r w:rsidRPr="00830BAD">
              <w:rPr>
                <w:rFonts w:eastAsia="Times New Roman" w:cstheme="minorHAnsi"/>
                <w:color w:val="000000"/>
              </w:rPr>
              <w:t>43</w:t>
            </w:r>
          </w:p>
        </w:tc>
        <w:tc>
          <w:tcPr>
            <w:tcW w:w="1843" w:type="dxa"/>
            <w:tcBorders>
              <w:top w:val="nil"/>
              <w:left w:val="nil"/>
              <w:bottom w:val="nil"/>
              <w:right w:val="nil"/>
            </w:tcBorders>
            <w:shd w:val="clear" w:color="auto" w:fill="auto"/>
            <w:noWrap/>
            <w:vAlign w:val="center"/>
            <w:hideMark/>
          </w:tcPr>
          <w:p w14:paraId="71F4FC5D" w14:textId="77777777" w:rsidR="005D15F4" w:rsidRPr="00830BAD" w:rsidRDefault="005D15F4" w:rsidP="00830BAD">
            <w:pPr>
              <w:spacing w:after="0" w:line="240" w:lineRule="auto"/>
              <w:jc w:val="both"/>
              <w:rPr>
                <w:rFonts w:eastAsia="Times New Roman" w:cstheme="minorHAnsi"/>
                <w:color w:val="000000"/>
              </w:rPr>
            </w:pPr>
            <w:r w:rsidRPr="00830BAD">
              <w:rPr>
                <w:rFonts w:eastAsia="Times New Roman" w:cstheme="minorHAnsi"/>
                <w:color w:val="000000"/>
              </w:rPr>
              <w:t>33.6</w:t>
            </w:r>
          </w:p>
        </w:tc>
      </w:tr>
      <w:tr w:rsidR="005D15F4" w:rsidRPr="00830BAD" w14:paraId="6C38195A" w14:textId="77777777" w:rsidTr="00372B69">
        <w:trPr>
          <w:trHeight w:val="300"/>
        </w:trPr>
        <w:tc>
          <w:tcPr>
            <w:tcW w:w="480" w:type="dxa"/>
            <w:tcBorders>
              <w:top w:val="nil"/>
              <w:left w:val="nil"/>
              <w:bottom w:val="nil"/>
              <w:right w:val="nil"/>
            </w:tcBorders>
            <w:shd w:val="clear" w:color="auto" w:fill="auto"/>
            <w:noWrap/>
            <w:vAlign w:val="center"/>
          </w:tcPr>
          <w:p w14:paraId="4F096896" w14:textId="1C080399" w:rsidR="005D15F4" w:rsidRPr="00830BAD" w:rsidRDefault="005D15F4" w:rsidP="00830BAD">
            <w:pPr>
              <w:spacing w:after="0" w:line="240" w:lineRule="auto"/>
              <w:jc w:val="both"/>
              <w:rPr>
                <w:rFonts w:eastAsia="Times New Roman" w:cstheme="minorHAnsi"/>
                <w:b/>
                <w:bCs/>
                <w:color w:val="000000"/>
              </w:rPr>
            </w:pPr>
          </w:p>
        </w:tc>
        <w:tc>
          <w:tcPr>
            <w:tcW w:w="5190" w:type="dxa"/>
            <w:gridSpan w:val="2"/>
            <w:tcBorders>
              <w:top w:val="nil"/>
              <w:left w:val="nil"/>
              <w:bottom w:val="nil"/>
              <w:right w:val="nil"/>
            </w:tcBorders>
            <w:shd w:val="clear" w:color="auto" w:fill="auto"/>
            <w:noWrap/>
            <w:vAlign w:val="center"/>
            <w:hideMark/>
          </w:tcPr>
          <w:p w14:paraId="36FE2DA4" w14:textId="77777777" w:rsidR="005D15F4" w:rsidRPr="00830BAD" w:rsidRDefault="005D15F4" w:rsidP="00830BAD">
            <w:pPr>
              <w:spacing w:after="0" w:line="240" w:lineRule="auto"/>
              <w:jc w:val="both"/>
              <w:rPr>
                <w:rFonts w:eastAsia="Times New Roman" w:cstheme="minorHAnsi"/>
                <w:b/>
                <w:bCs/>
                <w:color w:val="000000"/>
              </w:rPr>
            </w:pPr>
            <w:r w:rsidRPr="00830BAD">
              <w:rPr>
                <w:rFonts w:eastAsia="Times New Roman" w:cstheme="minorHAnsi"/>
                <w:b/>
                <w:bCs/>
                <w:color w:val="000000"/>
              </w:rPr>
              <w:t>Dysmenorrhea</w:t>
            </w:r>
          </w:p>
        </w:tc>
        <w:tc>
          <w:tcPr>
            <w:tcW w:w="1843" w:type="dxa"/>
            <w:tcBorders>
              <w:top w:val="nil"/>
              <w:left w:val="nil"/>
              <w:bottom w:val="nil"/>
              <w:right w:val="nil"/>
            </w:tcBorders>
            <w:shd w:val="clear" w:color="auto" w:fill="auto"/>
            <w:noWrap/>
            <w:vAlign w:val="center"/>
            <w:hideMark/>
          </w:tcPr>
          <w:p w14:paraId="5029BCAD" w14:textId="77777777" w:rsidR="005D15F4" w:rsidRPr="00830BAD" w:rsidRDefault="005D15F4" w:rsidP="00830BAD">
            <w:pPr>
              <w:spacing w:after="0" w:line="240" w:lineRule="auto"/>
              <w:jc w:val="both"/>
              <w:rPr>
                <w:rFonts w:eastAsia="Times New Roman" w:cstheme="minorHAnsi"/>
                <w:b/>
                <w:bCs/>
                <w:color w:val="000000"/>
              </w:rPr>
            </w:pPr>
          </w:p>
        </w:tc>
      </w:tr>
      <w:tr w:rsidR="005D15F4" w:rsidRPr="00830BAD" w14:paraId="4D7DD48F" w14:textId="77777777" w:rsidTr="00372B69">
        <w:trPr>
          <w:trHeight w:val="300"/>
        </w:trPr>
        <w:tc>
          <w:tcPr>
            <w:tcW w:w="480" w:type="dxa"/>
            <w:tcBorders>
              <w:top w:val="nil"/>
              <w:left w:val="nil"/>
              <w:bottom w:val="nil"/>
              <w:right w:val="nil"/>
            </w:tcBorders>
            <w:shd w:val="clear" w:color="auto" w:fill="auto"/>
            <w:noWrap/>
            <w:vAlign w:val="center"/>
          </w:tcPr>
          <w:p w14:paraId="3F31901A" w14:textId="77777777" w:rsidR="005D15F4" w:rsidRPr="00830BAD" w:rsidRDefault="005D15F4" w:rsidP="00830BAD">
            <w:pPr>
              <w:spacing w:after="0" w:line="240" w:lineRule="auto"/>
              <w:jc w:val="both"/>
              <w:rPr>
                <w:rFonts w:eastAsia="Times New Roman" w:cstheme="minorHAnsi"/>
              </w:rPr>
            </w:pPr>
          </w:p>
        </w:tc>
        <w:tc>
          <w:tcPr>
            <w:tcW w:w="3348" w:type="dxa"/>
            <w:tcBorders>
              <w:top w:val="nil"/>
              <w:left w:val="nil"/>
              <w:bottom w:val="nil"/>
              <w:right w:val="nil"/>
            </w:tcBorders>
            <w:shd w:val="clear" w:color="auto" w:fill="auto"/>
            <w:noWrap/>
            <w:vAlign w:val="center"/>
            <w:hideMark/>
          </w:tcPr>
          <w:p w14:paraId="6B71F967" w14:textId="77777777" w:rsidR="005D15F4" w:rsidRPr="00830BAD" w:rsidRDefault="005D15F4" w:rsidP="00830BAD">
            <w:pPr>
              <w:spacing w:after="0" w:line="240" w:lineRule="auto"/>
              <w:jc w:val="both"/>
              <w:rPr>
                <w:rFonts w:eastAsia="Times New Roman" w:cstheme="minorHAnsi"/>
                <w:color w:val="000000"/>
              </w:rPr>
            </w:pPr>
            <w:r w:rsidRPr="00830BAD">
              <w:rPr>
                <w:rFonts w:eastAsia="Times New Roman" w:cstheme="minorHAnsi"/>
                <w:color w:val="000000"/>
              </w:rPr>
              <w:t>Yes</w:t>
            </w:r>
          </w:p>
        </w:tc>
        <w:tc>
          <w:tcPr>
            <w:tcW w:w="1842" w:type="dxa"/>
            <w:tcBorders>
              <w:top w:val="nil"/>
              <w:left w:val="nil"/>
              <w:bottom w:val="nil"/>
              <w:right w:val="nil"/>
            </w:tcBorders>
            <w:shd w:val="clear" w:color="auto" w:fill="auto"/>
            <w:noWrap/>
            <w:vAlign w:val="center"/>
            <w:hideMark/>
          </w:tcPr>
          <w:p w14:paraId="0E79DAF5" w14:textId="77777777" w:rsidR="005D15F4" w:rsidRPr="00830BAD" w:rsidRDefault="005D15F4" w:rsidP="00830BAD">
            <w:pPr>
              <w:spacing w:after="0" w:line="240" w:lineRule="auto"/>
              <w:jc w:val="both"/>
              <w:rPr>
                <w:rFonts w:eastAsia="Times New Roman" w:cstheme="minorHAnsi"/>
                <w:color w:val="000000"/>
              </w:rPr>
            </w:pPr>
            <w:r w:rsidRPr="00830BAD">
              <w:rPr>
                <w:rFonts w:eastAsia="Times New Roman" w:cstheme="minorHAnsi"/>
                <w:color w:val="000000"/>
              </w:rPr>
              <w:t>64</w:t>
            </w:r>
          </w:p>
        </w:tc>
        <w:tc>
          <w:tcPr>
            <w:tcW w:w="1843" w:type="dxa"/>
            <w:tcBorders>
              <w:top w:val="nil"/>
              <w:left w:val="nil"/>
              <w:bottom w:val="nil"/>
              <w:right w:val="nil"/>
            </w:tcBorders>
            <w:shd w:val="clear" w:color="auto" w:fill="auto"/>
            <w:noWrap/>
            <w:vAlign w:val="center"/>
            <w:hideMark/>
          </w:tcPr>
          <w:p w14:paraId="73D1AA43" w14:textId="77777777" w:rsidR="005D15F4" w:rsidRPr="00830BAD" w:rsidRDefault="005D15F4" w:rsidP="00830BAD">
            <w:pPr>
              <w:spacing w:after="0" w:line="240" w:lineRule="auto"/>
              <w:jc w:val="both"/>
              <w:rPr>
                <w:rFonts w:eastAsia="Times New Roman" w:cstheme="minorHAnsi"/>
                <w:color w:val="000000"/>
              </w:rPr>
            </w:pPr>
            <w:r w:rsidRPr="00830BAD">
              <w:rPr>
                <w:rFonts w:eastAsia="Times New Roman" w:cstheme="minorHAnsi"/>
                <w:color w:val="000000"/>
              </w:rPr>
              <w:t>50</w:t>
            </w:r>
          </w:p>
        </w:tc>
      </w:tr>
      <w:tr w:rsidR="005D15F4" w:rsidRPr="00830BAD" w14:paraId="7B11BF24" w14:textId="77777777" w:rsidTr="00372B69">
        <w:trPr>
          <w:trHeight w:val="300"/>
        </w:trPr>
        <w:tc>
          <w:tcPr>
            <w:tcW w:w="480" w:type="dxa"/>
            <w:tcBorders>
              <w:top w:val="nil"/>
              <w:left w:val="nil"/>
              <w:bottom w:val="single" w:sz="4" w:space="0" w:color="auto"/>
              <w:right w:val="nil"/>
            </w:tcBorders>
            <w:shd w:val="clear" w:color="auto" w:fill="auto"/>
            <w:noWrap/>
            <w:vAlign w:val="center"/>
          </w:tcPr>
          <w:p w14:paraId="6F50547A" w14:textId="7A7EBDE6" w:rsidR="005D15F4" w:rsidRPr="00830BAD" w:rsidRDefault="005D15F4" w:rsidP="00830BAD">
            <w:pPr>
              <w:spacing w:after="0" w:line="240" w:lineRule="auto"/>
              <w:jc w:val="both"/>
              <w:rPr>
                <w:rFonts w:eastAsia="Times New Roman" w:cstheme="minorHAnsi"/>
                <w:color w:val="000000"/>
              </w:rPr>
            </w:pPr>
          </w:p>
        </w:tc>
        <w:tc>
          <w:tcPr>
            <w:tcW w:w="3348" w:type="dxa"/>
            <w:tcBorders>
              <w:top w:val="nil"/>
              <w:left w:val="nil"/>
              <w:bottom w:val="single" w:sz="4" w:space="0" w:color="auto"/>
              <w:right w:val="nil"/>
            </w:tcBorders>
            <w:shd w:val="clear" w:color="auto" w:fill="auto"/>
            <w:noWrap/>
            <w:vAlign w:val="center"/>
            <w:hideMark/>
          </w:tcPr>
          <w:p w14:paraId="77C5C70D" w14:textId="77777777" w:rsidR="005D15F4" w:rsidRPr="00830BAD" w:rsidRDefault="005D15F4" w:rsidP="00830BAD">
            <w:pPr>
              <w:spacing w:after="0" w:line="240" w:lineRule="auto"/>
              <w:jc w:val="both"/>
              <w:rPr>
                <w:rFonts w:eastAsia="Times New Roman" w:cstheme="minorHAnsi"/>
                <w:color w:val="000000"/>
              </w:rPr>
            </w:pPr>
            <w:r w:rsidRPr="00830BAD">
              <w:rPr>
                <w:rFonts w:eastAsia="Times New Roman" w:cstheme="minorHAnsi"/>
                <w:color w:val="000000"/>
              </w:rPr>
              <w:t>Not</w:t>
            </w:r>
          </w:p>
        </w:tc>
        <w:tc>
          <w:tcPr>
            <w:tcW w:w="1842" w:type="dxa"/>
            <w:tcBorders>
              <w:top w:val="nil"/>
              <w:left w:val="nil"/>
              <w:bottom w:val="single" w:sz="4" w:space="0" w:color="auto"/>
              <w:right w:val="nil"/>
            </w:tcBorders>
            <w:shd w:val="clear" w:color="auto" w:fill="auto"/>
            <w:noWrap/>
            <w:vAlign w:val="center"/>
            <w:hideMark/>
          </w:tcPr>
          <w:p w14:paraId="79722BF0" w14:textId="77777777" w:rsidR="005D15F4" w:rsidRPr="00830BAD" w:rsidRDefault="005D15F4" w:rsidP="00830BAD">
            <w:pPr>
              <w:spacing w:after="0" w:line="240" w:lineRule="auto"/>
              <w:jc w:val="both"/>
              <w:rPr>
                <w:rFonts w:eastAsia="Times New Roman" w:cstheme="minorHAnsi"/>
                <w:color w:val="000000"/>
              </w:rPr>
            </w:pPr>
            <w:r w:rsidRPr="00830BAD">
              <w:rPr>
                <w:rFonts w:eastAsia="Times New Roman" w:cstheme="minorHAnsi"/>
                <w:color w:val="000000"/>
              </w:rPr>
              <w:t>64</w:t>
            </w:r>
          </w:p>
        </w:tc>
        <w:tc>
          <w:tcPr>
            <w:tcW w:w="1843" w:type="dxa"/>
            <w:tcBorders>
              <w:top w:val="nil"/>
              <w:left w:val="nil"/>
              <w:bottom w:val="single" w:sz="4" w:space="0" w:color="auto"/>
              <w:right w:val="nil"/>
            </w:tcBorders>
            <w:shd w:val="clear" w:color="auto" w:fill="auto"/>
            <w:noWrap/>
            <w:vAlign w:val="center"/>
            <w:hideMark/>
          </w:tcPr>
          <w:p w14:paraId="2C0C9DE2" w14:textId="77777777" w:rsidR="005D15F4" w:rsidRPr="00830BAD" w:rsidRDefault="005D15F4" w:rsidP="00830BAD">
            <w:pPr>
              <w:spacing w:after="0" w:line="240" w:lineRule="auto"/>
              <w:jc w:val="both"/>
              <w:rPr>
                <w:rFonts w:eastAsia="Times New Roman" w:cstheme="minorHAnsi"/>
                <w:color w:val="000000"/>
              </w:rPr>
            </w:pPr>
            <w:r w:rsidRPr="00830BAD">
              <w:rPr>
                <w:rFonts w:eastAsia="Times New Roman" w:cstheme="minorHAnsi"/>
                <w:color w:val="000000"/>
              </w:rPr>
              <w:t>50</w:t>
            </w:r>
          </w:p>
        </w:tc>
      </w:tr>
    </w:tbl>
    <w:p w14:paraId="72DEB253" w14:textId="77777777" w:rsidR="007A79F8" w:rsidRDefault="003F0BFF" w:rsidP="00830BAD">
      <w:pPr>
        <w:tabs>
          <w:tab w:val="left" w:pos="284"/>
          <w:tab w:val="left" w:pos="567"/>
        </w:tabs>
        <w:suppressAutoHyphens/>
        <w:spacing w:after="0" w:line="240" w:lineRule="auto"/>
        <w:jc w:val="both"/>
        <w:rPr>
          <w:rFonts w:cstheme="minorHAnsi"/>
          <w:b/>
          <w:i/>
          <w:color w:val="000000" w:themeColor="text1"/>
        </w:rPr>
      </w:pPr>
      <w:r w:rsidRPr="00830BAD">
        <w:rPr>
          <w:rFonts w:cstheme="minorHAnsi"/>
          <w:b/>
          <w:i/>
          <w:color w:val="000000" w:themeColor="text1"/>
        </w:rPr>
        <w:t>Source: Primary Data year 2020</w:t>
      </w:r>
    </w:p>
    <w:p w14:paraId="646C09DE" w14:textId="77777777" w:rsidR="007A79F8" w:rsidRDefault="007A79F8" w:rsidP="00830BAD">
      <w:pPr>
        <w:tabs>
          <w:tab w:val="left" w:pos="284"/>
          <w:tab w:val="left" w:pos="567"/>
        </w:tabs>
        <w:suppressAutoHyphens/>
        <w:spacing w:after="0" w:line="240" w:lineRule="auto"/>
        <w:jc w:val="both"/>
        <w:rPr>
          <w:rFonts w:cstheme="minorHAnsi"/>
          <w:b/>
          <w:i/>
          <w:color w:val="000000" w:themeColor="text1"/>
        </w:rPr>
      </w:pPr>
    </w:p>
    <w:tbl>
      <w:tblPr>
        <w:tblW w:w="8792" w:type="dxa"/>
        <w:jc w:val="center"/>
        <w:tblLook w:val="04A0" w:firstRow="1" w:lastRow="0" w:firstColumn="1" w:lastColumn="0" w:noHBand="0" w:noVBand="1"/>
      </w:tblPr>
      <w:tblGrid>
        <w:gridCol w:w="1443"/>
        <w:gridCol w:w="825"/>
        <w:gridCol w:w="1567"/>
        <w:gridCol w:w="1567"/>
        <w:gridCol w:w="838"/>
        <w:gridCol w:w="750"/>
        <w:gridCol w:w="844"/>
        <w:gridCol w:w="951"/>
        <w:gridCol w:w="14"/>
      </w:tblGrid>
      <w:tr w:rsidR="00154427" w:rsidRPr="00830BAD" w14:paraId="569354A9" w14:textId="77777777" w:rsidTr="00FF3895">
        <w:trPr>
          <w:gridAfter w:val="1"/>
          <w:wAfter w:w="14" w:type="dxa"/>
          <w:trHeight w:val="300"/>
          <w:jc w:val="center"/>
        </w:trPr>
        <w:tc>
          <w:tcPr>
            <w:tcW w:w="8778" w:type="dxa"/>
            <w:gridSpan w:val="8"/>
            <w:tcBorders>
              <w:top w:val="single" w:sz="4" w:space="0" w:color="auto"/>
              <w:left w:val="nil"/>
              <w:bottom w:val="single" w:sz="4" w:space="0" w:color="auto"/>
              <w:right w:val="nil"/>
            </w:tcBorders>
            <w:shd w:val="clear" w:color="auto" w:fill="auto"/>
            <w:noWrap/>
            <w:vAlign w:val="bottom"/>
            <w:hideMark/>
          </w:tcPr>
          <w:p w14:paraId="2A8F4D40" w14:textId="148CEBA9" w:rsidR="00154427" w:rsidRPr="00830BAD" w:rsidRDefault="004C5AB6" w:rsidP="00830BAD">
            <w:pPr>
              <w:spacing w:after="0" w:line="240" w:lineRule="auto"/>
              <w:jc w:val="both"/>
              <w:rPr>
                <w:rFonts w:eastAsia="Times New Roman" w:cstheme="minorHAnsi"/>
                <w:b/>
                <w:color w:val="000000"/>
              </w:rPr>
            </w:pPr>
            <w:r w:rsidRPr="00830BAD">
              <w:rPr>
                <w:rFonts w:cstheme="minorHAnsi"/>
                <w:b/>
                <w:i/>
                <w:color w:val="000000" w:themeColor="text1"/>
              </w:rPr>
              <w:br w:type="page"/>
            </w:r>
            <w:r w:rsidR="007A79F8">
              <w:rPr>
                <w:rFonts w:eastAsia="Times New Roman" w:cstheme="minorHAnsi"/>
                <w:b/>
                <w:color w:val="000000"/>
              </w:rPr>
              <w:t xml:space="preserve">Table </w:t>
            </w:r>
            <w:r w:rsidR="003B7BE5" w:rsidRPr="00830BAD">
              <w:rPr>
                <w:rFonts w:eastAsia="Times New Roman" w:cstheme="minorHAnsi"/>
                <w:b/>
                <w:color w:val="000000"/>
              </w:rPr>
              <w:t xml:space="preserve">3 </w:t>
            </w:r>
            <w:r w:rsidR="00155C26" w:rsidRPr="00830BAD">
              <w:rPr>
                <w:rFonts w:eastAsia="Times New Roman" w:cstheme="minorHAnsi"/>
                <w:color w:val="000000"/>
              </w:rPr>
              <w:t>Influence of Macronutrient Intake with Dysmenore Incidence</w:t>
            </w:r>
            <w:r w:rsidR="00EB0A63">
              <w:rPr>
                <w:rFonts w:eastAsia="Times New Roman" w:cstheme="minorHAnsi"/>
                <w:color w:val="000000"/>
              </w:rPr>
              <w:t>.</w:t>
            </w:r>
          </w:p>
        </w:tc>
      </w:tr>
      <w:tr w:rsidR="00154427" w:rsidRPr="00830BAD" w14:paraId="5762A1A7" w14:textId="77777777" w:rsidTr="00FF3895">
        <w:trPr>
          <w:trHeight w:val="300"/>
          <w:jc w:val="center"/>
        </w:trPr>
        <w:tc>
          <w:tcPr>
            <w:tcW w:w="2268" w:type="dxa"/>
            <w:gridSpan w:val="2"/>
            <w:vMerge w:val="restart"/>
            <w:tcBorders>
              <w:top w:val="nil"/>
              <w:left w:val="nil"/>
              <w:bottom w:val="single" w:sz="4" w:space="0" w:color="000000"/>
              <w:right w:val="nil"/>
            </w:tcBorders>
            <w:shd w:val="clear" w:color="auto" w:fill="auto"/>
            <w:noWrap/>
            <w:vAlign w:val="center"/>
            <w:hideMark/>
          </w:tcPr>
          <w:p w14:paraId="6D23AB03" w14:textId="77777777" w:rsidR="00154427" w:rsidRPr="00830BAD" w:rsidRDefault="003B7BE5" w:rsidP="00C17085">
            <w:pPr>
              <w:spacing w:after="0" w:line="240" w:lineRule="auto"/>
              <w:jc w:val="center"/>
              <w:rPr>
                <w:rFonts w:eastAsia="Times New Roman" w:cstheme="minorHAnsi"/>
                <w:b/>
                <w:bCs/>
                <w:color w:val="000000"/>
              </w:rPr>
            </w:pPr>
            <w:r w:rsidRPr="00830BAD">
              <w:rPr>
                <w:rFonts w:eastAsia="Times New Roman" w:cstheme="minorHAnsi"/>
                <w:b/>
                <w:bCs/>
                <w:color w:val="000000"/>
              </w:rPr>
              <w:t>Variable</w:t>
            </w:r>
          </w:p>
        </w:tc>
        <w:tc>
          <w:tcPr>
            <w:tcW w:w="1560" w:type="dxa"/>
            <w:tcBorders>
              <w:top w:val="nil"/>
              <w:left w:val="nil"/>
              <w:bottom w:val="nil"/>
              <w:right w:val="nil"/>
            </w:tcBorders>
            <w:shd w:val="clear" w:color="auto" w:fill="auto"/>
            <w:noWrap/>
            <w:vAlign w:val="center"/>
            <w:hideMark/>
          </w:tcPr>
          <w:p w14:paraId="0C648735" w14:textId="77777777" w:rsidR="00154427" w:rsidRPr="00830BAD" w:rsidRDefault="003B7BE5" w:rsidP="00C17085">
            <w:pPr>
              <w:spacing w:after="0" w:line="240" w:lineRule="auto"/>
              <w:jc w:val="center"/>
              <w:rPr>
                <w:rFonts w:eastAsia="Times New Roman" w:cstheme="minorHAnsi"/>
                <w:b/>
                <w:bCs/>
                <w:color w:val="000000"/>
              </w:rPr>
            </w:pPr>
            <w:r w:rsidRPr="00830BAD">
              <w:rPr>
                <w:rFonts w:eastAsia="Times New Roman" w:cstheme="minorHAnsi"/>
                <w:b/>
                <w:bCs/>
                <w:color w:val="000000"/>
              </w:rPr>
              <w:t>Dysmenorrhea</w:t>
            </w:r>
          </w:p>
        </w:tc>
        <w:tc>
          <w:tcPr>
            <w:tcW w:w="1567" w:type="dxa"/>
            <w:vMerge w:val="restart"/>
            <w:tcBorders>
              <w:top w:val="nil"/>
              <w:left w:val="nil"/>
              <w:bottom w:val="single" w:sz="4" w:space="0" w:color="000000"/>
              <w:right w:val="nil"/>
            </w:tcBorders>
            <w:shd w:val="clear" w:color="auto" w:fill="auto"/>
            <w:noWrap/>
            <w:vAlign w:val="center"/>
            <w:hideMark/>
          </w:tcPr>
          <w:p w14:paraId="07A3AC23" w14:textId="77777777" w:rsidR="00154427" w:rsidRPr="00830BAD" w:rsidRDefault="003B7BE5" w:rsidP="00C17085">
            <w:pPr>
              <w:spacing w:after="0" w:line="240" w:lineRule="auto"/>
              <w:jc w:val="center"/>
              <w:rPr>
                <w:rFonts w:eastAsia="Times New Roman" w:cstheme="minorHAnsi"/>
                <w:b/>
                <w:bCs/>
                <w:color w:val="000000"/>
              </w:rPr>
            </w:pPr>
            <w:r w:rsidRPr="00830BAD">
              <w:rPr>
                <w:rFonts w:eastAsia="Times New Roman" w:cstheme="minorHAnsi"/>
                <w:b/>
                <w:bCs/>
                <w:color w:val="000000"/>
              </w:rPr>
              <w:t>Not  Dysmenorrhea</w:t>
            </w:r>
            <w:r w:rsidR="00154427" w:rsidRPr="00830BAD">
              <w:rPr>
                <w:rFonts w:eastAsia="Times New Roman" w:cstheme="minorHAnsi"/>
                <w:b/>
                <w:bCs/>
                <w:color w:val="000000"/>
              </w:rPr>
              <w:t xml:space="preserve"> (n %)</w:t>
            </w:r>
          </w:p>
        </w:tc>
        <w:tc>
          <w:tcPr>
            <w:tcW w:w="838" w:type="dxa"/>
            <w:vMerge w:val="restart"/>
            <w:tcBorders>
              <w:top w:val="nil"/>
              <w:left w:val="nil"/>
              <w:bottom w:val="single" w:sz="4" w:space="0" w:color="000000"/>
              <w:right w:val="nil"/>
            </w:tcBorders>
            <w:shd w:val="clear" w:color="auto" w:fill="auto"/>
            <w:noWrap/>
            <w:vAlign w:val="center"/>
            <w:hideMark/>
          </w:tcPr>
          <w:p w14:paraId="2D0F70D1" w14:textId="77777777" w:rsidR="00154427" w:rsidRPr="00830BAD" w:rsidRDefault="00154427" w:rsidP="00065988">
            <w:pPr>
              <w:spacing w:after="0" w:line="240" w:lineRule="auto"/>
              <w:jc w:val="center"/>
              <w:rPr>
                <w:rFonts w:eastAsia="Times New Roman" w:cstheme="minorHAnsi"/>
                <w:b/>
                <w:bCs/>
                <w:i/>
                <w:color w:val="000000"/>
              </w:rPr>
            </w:pPr>
            <w:r w:rsidRPr="00830BAD">
              <w:rPr>
                <w:rFonts w:eastAsia="Times New Roman" w:cstheme="minorHAnsi"/>
                <w:b/>
                <w:bCs/>
                <w:i/>
                <w:color w:val="000000"/>
              </w:rPr>
              <w:t>P</w:t>
            </w:r>
            <w:r w:rsidR="00065988">
              <w:rPr>
                <w:rFonts w:eastAsia="Times New Roman" w:cstheme="minorHAnsi"/>
                <w:b/>
                <w:bCs/>
                <w:i/>
                <w:color w:val="000000"/>
              </w:rPr>
              <w:t>-</w:t>
            </w:r>
            <w:r w:rsidR="003B7BE5" w:rsidRPr="00830BAD">
              <w:rPr>
                <w:rFonts w:eastAsia="Times New Roman" w:cstheme="minorHAnsi"/>
                <w:b/>
                <w:bCs/>
                <w:i/>
                <w:color w:val="000000"/>
              </w:rPr>
              <w:t>value</w:t>
            </w:r>
          </w:p>
        </w:tc>
        <w:tc>
          <w:tcPr>
            <w:tcW w:w="750" w:type="dxa"/>
            <w:vMerge w:val="restart"/>
            <w:tcBorders>
              <w:top w:val="nil"/>
              <w:left w:val="nil"/>
              <w:bottom w:val="single" w:sz="4" w:space="0" w:color="000000"/>
              <w:right w:val="nil"/>
            </w:tcBorders>
            <w:shd w:val="clear" w:color="auto" w:fill="auto"/>
            <w:noWrap/>
            <w:vAlign w:val="center"/>
            <w:hideMark/>
          </w:tcPr>
          <w:p w14:paraId="4467BAF2" w14:textId="77777777" w:rsidR="00154427" w:rsidRPr="00830BAD" w:rsidRDefault="00154427" w:rsidP="00C17085">
            <w:pPr>
              <w:spacing w:after="0" w:line="240" w:lineRule="auto"/>
              <w:jc w:val="center"/>
              <w:rPr>
                <w:rFonts w:eastAsia="Times New Roman" w:cstheme="minorHAnsi"/>
                <w:b/>
                <w:bCs/>
                <w:color w:val="000000"/>
              </w:rPr>
            </w:pPr>
            <w:r w:rsidRPr="00830BAD">
              <w:rPr>
                <w:rFonts w:eastAsia="Times New Roman" w:cstheme="minorHAnsi"/>
                <w:b/>
                <w:bCs/>
                <w:i/>
                <w:color w:val="000000"/>
              </w:rPr>
              <w:t>RR</w:t>
            </w:r>
            <w:r w:rsidR="003B7BE5" w:rsidRPr="00830BAD">
              <w:rPr>
                <w:rFonts w:eastAsia="Times New Roman" w:cstheme="minorHAnsi"/>
                <w:b/>
                <w:bCs/>
                <w:i/>
                <w:color w:val="000000"/>
              </w:rPr>
              <w:t xml:space="preserve"> value</w:t>
            </w:r>
          </w:p>
        </w:tc>
        <w:tc>
          <w:tcPr>
            <w:tcW w:w="1809" w:type="dxa"/>
            <w:gridSpan w:val="3"/>
            <w:tcBorders>
              <w:top w:val="nil"/>
              <w:left w:val="nil"/>
              <w:bottom w:val="nil"/>
              <w:right w:val="nil"/>
            </w:tcBorders>
            <w:shd w:val="clear" w:color="auto" w:fill="auto"/>
            <w:noWrap/>
            <w:vAlign w:val="center"/>
            <w:hideMark/>
          </w:tcPr>
          <w:p w14:paraId="5A7BB885" w14:textId="77777777" w:rsidR="00154427" w:rsidRPr="00830BAD" w:rsidRDefault="00154427" w:rsidP="00C17085">
            <w:pPr>
              <w:spacing w:after="0" w:line="240" w:lineRule="auto"/>
              <w:jc w:val="center"/>
              <w:rPr>
                <w:rFonts w:eastAsia="Times New Roman" w:cstheme="minorHAnsi"/>
                <w:b/>
                <w:bCs/>
                <w:color w:val="000000"/>
              </w:rPr>
            </w:pPr>
            <w:r w:rsidRPr="00830BAD">
              <w:rPr>
                <w:rFonts w:eastAsia="Times New Roman" w:cstheme="minorHAnsi"/>
                <w:b/>
                <w:bCs/>
                <w:color w:val="000000"/>
              </w:rPr>
              <w:t>CI 95 %</w:t>
            </w:r>
          </w:p>
        </w:tc>
      </w:tr>
      <w:tr w:rsidR="00830BAD" w:rsidRPr="00830BAD" w14:paraId="4FC37471" w14:textId="77777777" w:rsidTr="00FF3895">
        <w:trPr>
          <w:trHeight w:val="300"/>
          <w:jc w:val="center"/>
        </w:trPr>
        <w:tc>
          <w:tcPr>
            <w:tcW w:w="2268" w:type="dxa"/>
            <w:gridSpan w:val="2"/>
            <w:vMerge/>
            <w:tcBorders>
              <w:top w:val="nil"/>
              <w:left w:val="nil"/>
              <w:bottom w:val="single" w:sz="4" w:space="0" w:color="000000"/>
              <w:right w:val="nil"/>
            </w:tcBorders>
            <w:vAlign w:val="center"/>
            <w:hideMark/>
          </w:tcPr>
          <w:p w14:paraId="7DE06D9D" w14:textId="77777777" w:rsidR="00154427" w:rsidRPr="00830BAD" w:rsidRDefault="00154427" w:rsidP="00830BAD">
            <w:pPr>
              <w:spacing w:after="0" w:line="240" w:lineRule="auto"/>
              <w:jc w:val="both"/>
              <w:rPr>
                <w:rFonts w:eastAsia="Times New Roman" w:cstheme="minorHAnsi"/>
                <w:b/>
                <w:bCs/>
                <w:color w:val="000000"/>
              </w:rPr>
            </w:pPr>
          </w:p>
        </w:tc>
        <w:tc>
          <w:tcPr>
            <w:tcW w:w="1560" w:type="dxa"/>
            <w:tcBorders>
              <w:top w:val="nil"/>
              <w:left w:val="nil"/>
              <w:bottom w:val="single" w:sz="4" w:space="0" w:color="auto"/>
              <w:right w:val="nil"/>
            </w:tcBorders>
            <w:shd w:val="clear" w:color="auto" w:fill="auto"/>
            <w:noWrap/>
            <w:vAlign w:val="center"/>
            <w:hideMark/>
          </w:tcPr>
          <w:p w14:paraId="25DA1A18" w14:textId="77777777" w:rsidR="00154427" w:rsidRPr="00830BAD" w:rsidRDefault="00154427" w:rsidP="00C17085">
            <w:pPr>
              <w:spacing w:after="0" w:line="240" w:lineRule="auto"/>
              <w:jc w:val="center"/>
              <w:rPr>
                <w:rFonts w:eastAsia="Times New Roman" w:cstheme="minorHAnsi"/>
                <w:b/>
                <w:bCs/>
                <w:color w:val="000000"/>
              </w:rPr>
            </w:pPr>
            <w:r w:rsidRPr="00830BAD">
              <w:rPr>
                <w:rFonts w:eastAsia="Times New Roman" w:cstheme="minorHAnsi"/>
                <w:b/>
                <w:bCs/>
                <w:color w:val="000000"/>
              </w:rPr>
              <w:t>(n %)</w:t>
            </w:r>
          </w:p>
        </w:tc>
        <w:tc>
          <w:tcPr>
            <w:tcW w:w="1567" w:type="dxa"/>
            <w:vMerge/>
            <w:tcBorders>
              <w:top w:val="nil"/>
              <w:left w:val="nil"/>
              <w:bottom w:val="single" w:sz="4" w:space="0" w:color="000000"/>
              <w:right w:val="nil"/>
            </w:tcBorders>
            <w:vAlign w:val="center"/>
            <w:hideMark/>
          </w:tcPr>
          <w:p w14:paraId="3B27E083" w14:textId="77777777" w:rsidR="00154427" w:rsidRPr="00830BAD" w:rsidRDefault="00154427" w:rsidP="00C17085">
            <w:pPr>
              <w:spacing w:after="0" w:line="240" w:lineRule="auto"/>
              <w:jc w:val="center"/>
              <w:rPr>
                <w:rFonts w:eastAsia="Times New Roman" w:cstheme="minorHAnsi"/>
                <w:b/>
                <w:bCs/>
                <w:color w:val="000000"/>
              </w:rPr>
            </w:pPr>
          </w:p>
        </w:tc>
        <w:tc>
          <w:tcPr>
            <w:tcW w:w="838" w:type="dxa"/>
            <w:vMerge/>
            <w:tcBorders>
              <w:top w:val="nil"/>
              <w:left w:val="nil"/>
              <w:bottom w:val="single" w:sz="4" w:space="0" w:color="000000"/>
              <w:right w:val="nil"/>
            </w:tcBorders>
            <w:vAlign w:val="center"/>
            <w:hideMark/>
          </w:tcPr>
          <w:p w14:paraId="03DCDA9C" w14:textId="77777777" w:rsidR="00154427" w:rsidRPr="00830BAD" w:rsidRDefault="00154427" w:rsidP="00C17085">
            <w:pPr>
              <w:spacing w:after="0" w:line="240" w:lineRule="auto"/>
              <w:jc w:val="center"/>
              <w:rPr>
                <w:rFonts w:eastAsia="Times New Roman" w:cstheme="minorHAnsi"/>
                <w:b/>
                <w:bCs/>
                <w:color w:val="000000"/>
              </w:rPr>
            </w:pPr>
          </w:p>
        </w:tc>
        <w:tc>
          <w:tcPr>
            <w:tcW w:w="750" w:type="dxa"/>
            <w:vMerge/>
            <w:tcBorders>
              <w:top w:val="nil"/>
              <w:left w:val="nil"/>
              <w:bottom w:val="single" w:sz="4" w:space="0" w:color="000000"/>
              <w:right w:val="nil"/>
            </w:tcBorders>
            <w:vAlign w:val="center"/>
            <w:hideMark/>
          </w:tcPr>
          <w:p w14:paraId="4ABB3E0E" w14:textId="77777777" w:rsidR="00154427" w:rsidRPr="00830BAD" w:rsidRDefault="00154427" w:rsidP="00C17085">
            <w:pPr>
              <w:spacing w:after="0" w:line="240" w:lineRule="auto"/>
              <w:jc w:val="center"/>
              <w:rPr>
                <w:rFonts w:eastAsia="Times New Roman" w:cstheme="minorHAnsi"/>
                <w:b/>
                <w:bCs/>
                <w:color w:val="000000"/>
              </w:rPr>
            </w:pPr>
          </w:p>
        </w:tc>
        <w:tc>
          <w:tcPr>
            <w:tcW w:w="844" w:type="dxa"/>
            <w:tcBorders>
              <w:top w:val="nil"/>
              <w:left w:val="nil"/>
              <w:bottom w:val="single" w:sz="4" w:space="0" w:color="auto"/>
              <w:right w:val="nil"/>
            </w:tcBorders>
            <w:shd w:val="clear" w:color="auto" w:fill="auto"/>
            <w:noWrap/>
            <w:vAlign w:val="center"/>
            <w:hideMark/>
          </w:tcPr>
          <w:p w14:paraId="0C487F72" w14:textId="77777777" w:rsidR="00154427" w:rsidRPr="00830BAD" w:rsidRDefault="00154427" w:rsidP="00C17085">
            <w:pPr>
              <w:spacing w:after="0" w:line="240" w:lineRule="auto"/>
              <w:jc w:val="center"/>
              <w:rPr>
                <w:rFonts w:eastAsia="Times New Roman" w:cstheme="minorHAnsi"/>
                <w:b/>
                <w:bCs/>
                <w:color w:val="000000"/>
              </w:rPr>
            </w:pPr>
            <w:r w:rsidRPr="00830BAD">
              <w:rPr>
                <w:rFonts w:eastAsia="Times New Roman" w:cstheme="minorHAnsi"/>
                <w:b/>
                <w:bCs/>
                <w:color w:val="000000"/>
              </w:rPr>
              <w:t>Lower</w:t>
            </w:r>
          </w:p>
        </w:tc>
        <w:tc>
          <w:tcPr>
            <w:tcW w:w="965" w:type="dxa"/>
            <w:gridSpan w:val="2"/>
            <w:tcBorders>
              <w:top w:val="nil"/>
              <w:left w:val="nil"/>
              <w:bottom w:val="single" w:sz="4" w:space="0" w:color="auto"/>
              <w:right w:val="nil"/>
            </w:tcBorders>
            <w:shd w:val="clear" w:color="auto" w:fill="auto"/>
            <w:noWrap/>
            <w:vAlign w:val="center"/>
            <w:hideMark/>
          </w:tcPr>
          <w:p w14:paraId="544E0284" w14:textId="77777777" w:rsidR="00154427" w:rsidRPr="00830BAD" w:rsidRDefault="00154427" w:rsidP="00C17085">
            <w:pPr>
              <w:spacing w:after="0" w:line="240" w:lineRule="auto"/>
              <w:jc w:val="center"/>
              <w:rPr>
                <w:rFonts w:eastAsia="Times New Roman" w:cstheme="minorHAnsi"/>
                <w:b/>
                <w:bCs/>
                <w:color w:val="000000"/>
              </w:rPr>
            </w:pPr>
            <w:r w:rsidRPr="00830BAD">
              <w:rPr>
                <w:rFonts w:eastAsia="Times New Roman" w:cstheme="minorHAnsi"/>
                <w:b/>
                <w:bCs/>
                <w:color w:val="000000"/>
              </w:rPr>
              <w:t>Upper</w:t>
            </w:r>
          </w:p>
        </w:tc>
      </w:tr>
      <w:tr w:rsidR="003B7BE5" w:rsidRPr="00830BAD" w14:paraId="31757735" w14:textId="77777777" w:rsidTr="00FF3895">
        <w:trPr>
          <w:trHeight w:val="284"/>
          <w:jc w:val="center"/>
        </w:trPr>
        <w:tc>
          <w:tcPr>
            <w:tcW w:w="1443" w:type="dxa"/>
            <w:tcBorders>
              <w:top w:val="nil"/>
              <w:left w:val="nil"/>
              <w:bottom w:val="nil"/>
              <w:right w:val="nil"/>
            </w:tcBorders>
            <w:shd w:val="clear" w:color="auto" w:fill="auto"/>
            <w:noWrap/>
            <w:vAlign w:val="center"/>
            <w:hideMark/>
          </w:tcPr>
          <w:p w14:paraId="185701DF" w14:textId="77777777" w:rsidR="00154427" w:rsidRPr="00830BAD" w:rsidRDefault="00065988" w:rsidP="00830BAD">
            <w:pPr>
              <w:spacing w:after="0" w:line="240" w:lineRule="auto"/>
              <w:jc w:val="both"/>
              <w:rPr>
                <w:rFonts w:eastAsia="Times New Roman" w:cstheme="minorHAnsi"/>
                <w:color w:val="000000"/>
              </w:rPr>
            </w:pPr>
            <w:r>
              <w:rPr>
                <w:rFonts w:eastAsia="Times New Roman" w:cstheme="minorHAnsi"/>
                <w:color w:val="000000"/>
              </w:rPr>
              <w:t>Carbohydrate</w:t>
            </w:r>
          </w:p>
        </w:tc>
        <w:tc>
          <w:tcPr>
            <w:tcW w:w="825" w:type="dxa"/>
            <w:tcBorders>
              <w:top w:val="nil"/>
              <w:left w:val="nil"/>
              <w:bottom w:val="nil"/>
              <w:right w:val="nil"/>
            </w:tcBorders>
            <w:shd w:val="clear" w:color="auto" w:fill="auto"/>
            <w:noWrap/>
            <w:vAlign w:val="center"/>
            <w:hideMark/>
          </w:tcPr>
          <w:p w14:paraId="5CEF944A" w14:textId="77777777" w:rsidR="00154427" w:rsidRPr="00830BAD" w:rsidRDefault="003B7BE5" w:rsidP="00830BAD">
            <w:pPr>
              <w:spacing w:after="0" w:line="240" w:lineRule="auto"/>
              <w:jc w:val="both"/>
              <w:rPr>
                <w:rFonts w:eastAsia="Times New Roman" w:cstheme="minorHAnsi"/>
                <w:color w:val="000000"/>
              </w:rPr>
            </w:pPr>
            <w:r w:rsidRPr="00830BAD">
              <w:rPr>
                <w:rFonts w:eastAsia="Times New Roman" w:cstheme="minorHAnsi"/>
                <w:color w:val="000000"/>
              </w:rPr>
              <w:t>Less</w:t>
            </w:r>
          </w:p>
        </w:tc>
        <w:tc>
          <w:tcPr>
            <w:tcW w:w="1560" w:type="dxa"/>
            <w:tcBorders>
              <w:top w:val="nil"/>
              <w:left w:val="nil"/>
              <w:bottom w:val="nil"/>
              <w:right w:val="nil"/>
            </w:tcBorders>
            <w:shd w:val="clear" w:color="auto" w:fill="auto"/>
            <w:noWrap/>
            <w:vAlign w:val="center"/>
            <w:hideMark/>
          </w:tcPr>
          <w:p w14:paraId="6E18B146"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38 (59.4%)</w:t>
            </w:r>
          </w:p>
        </w:tc>
        <w:tc>
          <w:tcPr>
            <w:tcW w:w="1567" w:type="dxa"/>
            <w:tcBorders>
              <w:top w:val="nil"/>
              <w:left w:val="nil"/>
              <w:bottom w:val="nil"/>
              <w:right w:val="nil"/>
            </w:tcBorders>
            <w:shd w:val="clear" w:color="auto" w:fill="auto"/>
            <w:noWrap/>
            <w:vAlign w:val="center"/>
            <w:hideMark/>
          </w:tcPr>
          <w:p w14:paraId="4455B4D4"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31 (48.4%)</w:t>
            </w:r>
          </w:p>
        </w:tc>
        <w:tc>
          <w:tcPr>
            <w:tcW w:w="838" w:type="dxa"/>
            <w:vMerge w:val="restart"/>
            <w:tcBorders>
              <w:top w:val="nil"/>
              <w:left w:val="nil"/>
              <w:bottom w:val="nil"/>
              <w:right w:val="nil"/>
            </w:tcBorders>
            <w:shd w:val="clear" w:color="auto" w:fill="auto"/>
            <w:noWrap/>
            <w:vAlign w:val="center"/>
            <w:hideMark/>
          </w:tcPr>
          <w:p w14:paraId="27070029"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0.462</w:t>
            </w:r>
          </w:p>
        </w:tc>
        <w:tc>
          <w:tcPr>
            <w:tcW w:w="750" w:type="dxa"/>
            <w:tcBorders>
              <w:top w:val="nil"/>
              <w:left w:val="nil"/>
              <w:bottom w:val="nil"/>
              <w:right w:val="nil"/>
            </w:tcBorders>
            <w:shd w:val="clear" w:color="auto" w:fill="auto"/>
            <w:noWrap/>
            <w:vAlign w:val="center"/>
            <w:hideMark/>
          </w:tcPr>
          <w:p w14:paraId="529DE1E3"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1.259</w:t>
            </w:r>
          </w:p>
        </w:tc>
        <w:tc>
          <w:tcPr>
            <w:tcW w:w="844" w:type="dxa"/>
            <w:tcBorders>
              <w:top w:val="nil"/>
              <w:left w:val="nil"/>
              <w:bottom w:val="nil"/>
              <w:right w:val="nil"/>
            </w:tcBorders>
            <w:shd w:val="clear" w:color="auto" w:fill="auto"/>
            <w:noWrap/>
            <w:vAlign w:val="center"/>
            <w:hideMark/>
          </w:tcPr>
          <w:p w14:paraId="0DEF95C3"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0.805</w:t>
            </w:r>
          </w:p>
        </w:tc>
        <w:tc>
          <w:tcPr>
            <w:tcW w:w="965" w:type="dxa"/>
            <w:gridSpan w:val="2"/>
            <w:tcBorders>
              <w:top w:val="nil"/>
              <w:left w:val="nil"/>
              <w:bottom w:val="nil"/>
              <w:right w:val="nil"/>
            </w:tcBorders>
            <w:shd w:val="clear" w:color="auto" w:fill="auto"/>
            <w:noWrap/>
            <w:vAlign w:val="center"/>
            <w:hideMark/>
          </w:tcPr>
          <w:p w14:paraId="3B511A94"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1.968</w:t>
            </w:r>
          </w:p>
        </w:tc>
      </w:tr>
      <w:tr w:rsidR="003B7BE5" w:rsidRPr="00830BAD" w14:paraId="600CC617" w14:textId="77777777" w:rsidTr="00FF3895">
        <w:trPr>
          <w:trHeight w:val="285"/>
          <w:jc w:val="center"/>
        </w:trPr>
        <w:tc>
          <w:tcPr>
            <w:tcW w:w="1443" w:type="dxa"/>
            <w:tcBorders>
              <w:top w:val="nil"/>
              <w:left w:val="nil"/>
              <w:bottom w:val="nil"/>
              <w:right w:val="nil"/>
            </w:tcBorders>
            <w:shd w:val="clear" w:color="auto" w:fill="auto"/>
            <w:noWrap/>
            <w:vAlign w:val="bottom"/>
            <w:hideMark/>
          </w:tcPr>
          <w:p w14:paraId="026B051F" w14:textId="77777777" w:rsidR="00154427" w:rsidRPr="00830BAD" w:rsidRDefault="00154427" w:rsidP="00830BAD">
            <w:pPr>
              <w:spacing w:after="0" w:line="240" w:lineRule="auto"/>
              <w:jc w:val="both"/>
              <w:rPr>
                <w:rFonts w:eastAsia="Times New Roman" w:cstheme="minorHAnsi"/>
                <w:color w:val="000000"/>
              </w:rPr>
            </w:pPr>
          </w:p>
        </w:tc>
        <w:tc>
          <w:tcPr>
            <w:tcW w:w="825" w:type="dxa"/>
            <w:tcBorders>
              <w:top w:val="nil"/>
              <w:left w:val="nil"/>
              <w:bottom w:val="nil"/>
              <w:right w:val="nil"/>
            </w:tcBorders>
            <w:shd w:val="clear" w:color="auto" w:fill="auto"/>
            <w:noWrap/>
            <w:vAlign w:val="center"/>
            <w:hideMark/>
          </w:tcPr>
          <w:p w14:paraId="5EB03A12" w14:textId="77777777" w:rsidR="00154427" w:rsidRPr="00830BAD" w:rsidRDefault="003B7BE5" w:rsidP="00830BAD">
            <w:pPr>
              <w:spacing w:after="0" w:line="240" w:lineRule="auto"/>
              <w:jc w:val="both"/>
              <w:rPr>
                <w:rFonts w:eastAsia="Times New Roman" w:cstheme="minorHAnsi"/>
                <w:color w:val="000000"/>
              </w:rPr>
            </w:pPr>
            <w:r w:rsidRPr="00830BAD">
              <w:rPr>
                <w:rFonts w:eastAsia="Times New Roman" w:cstheme="minorHAnsi"/>
                <w:color w:val="000000"/>
              </w:rPr>
              <w:t>More</w:t>
            </w:r>
          </w:p>
        </w:tc>
        <w:tc>
          <w:tcPr>
            <w:tcW w:w="1560" w:type="dxa"/>
            <w:tcBorders>
              <w:top w:val="nil"/>
              <w:left w:val="nil"/>
              <w:bottom w:val="nil"/>
              <w:right w:val="nil"/>
            </w:tcBorders>
            <w:shd w:val="clear" w:color="auto" w:fill="auto"/>
            <w:noWrap/>
            <w:vAlign w:val="center"/>
            <w:hideMark/>
          </w:tcPr>
          <w:p w14:paraId="29B0AD25"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12 (18.8%)</w:t>
            </w:r>
          </w:p>
        </w:tc>
        <w:tc>
          <w:tcPr>
            <w:tcW w:w="1567" w:type="dxa"/>
            <w:tcBorders>
              <w:top w:val="nil"/>
              <w:left w:val="nil"/>
              <w:bottom w:val="nil"/>
              <w:right w:val="nil"/>
            </w:tcBorders>
            <w:shd w:val="clear" w:color="auto" w:fill="auto"/>
            <w:noWrap/>
            <w:vAlign w:val="center"/>
            <w:hideMark/>
          </w:tcPr>
          <w:p w14:paraId="79EF1E6F"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15 (23.4%)</w:t>
            </w:r>
          </w:p>
        </w:tc>
        <w:tc>
          <w:tcPr>
            <w:tcW w:w="838" w:type="dxa"/>
            <w:vMerge/>
            <w:tcBorders>
              <w:top w:val="nil"/>
              <w:left w:val="nil"/>
              <w:bottom w:val="nil"/>
              <w:right w:val="nil"/>
            </w:tcBorders>
            <w:vAlign w:val="center"/>
            <w:hideMark/>
          </w:tcPr>
          <w:p w14:paraId="656F78CA" w14:textId="77777777" w:rsidR="00154427" w:rsidRPr="00830BAD" w:rsidRDefault="00154427" w:rsidP="00830BAD">
            <w:pPr>
              <w:spacing w:after="0" w:line="240" w:lineRule="auto"/>
              <w:jc w:val="both"/>
              <w:rPr>
                <w:rFonts w:eastAsia="Times New Roman" w:cstheme="minorHAnsi"/>
                <w:color w:val="000000"/>
              </w:rPr>
            </w:pPr>
          </w:p>
        </w:tc>
        <w:tc>
          <w:tcPr>
            <w:tcW w:w="750" w:type="dxa"/>
            <w:tcBorders>
              <w:top w:val="nil"/>
              <w:left w:val="nil"/>
              <w:bottom w:val="nil"/>
              <w:right w:val="nil"/>
            </w:tcBorders>
            <w:shd w:val="clear" w:color="auto" w:fill="auto"/>
            <w:noWrap/>
            <w:vAlign w:val="center"/>
            <w:hideMark/>
          </w:tcPr>
          <w:p w14:paraId="0079CFF4"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1.016</w:t>
            </w:r>
          </w:p>
        </w:tc>
        <w:tc>
          <w:tcPr>
            <w:tcW w:w="844" w:type="dxa"/>
            <w:tcBorders>
              <w:top w:val="nil"/>
              <w:left w:val="nil"/>
              <w:bottom w:val="nil"/>
              <w:right w:val="nil"/>
            </w:tcBorders>
            <w:shd w:val="clear" w:color="auto" w:fill="auto"/>
            <w:noWrap/>
            <w:vAlign w:val="center"/>
            <w:hideMark/>
          </w:tcPr>
          <w:p w14:paraId="5C2B6CB3"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0.571</w:t>
            </w:r>
          </w:p>
        </w:tc>
        <w:tc>
          <w:tcPr>
            <w:tcW w:w="965" w:type="dxa"/>
            <w:gridSpan w:val="2"/>
            <w:tcBorders>
              <w:top w:val="nil"/>
              <w:left w:val="nil"/>
              <w:bottom w:val="nil"/>
              <w:right w:val="nil"/>
            </w:tcBorders>
            <w:shd w:val="clear" w:color="auto" w:fill="auto"/>
            <w:noWrap/>
            <w:vAlign w:val="center"/>
            <w:hideMark/>
          </w:tcPr>
          <w:p w14:paraId="08F5FD8D"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1.808</w:t>
            </w:r>
          </w:p>
        </w:tc>
      </w:tr>
      <w:tr w:rsidR="003B7BE5" w:rsidRPr="00830BAD" w14:paraId="1D13B254" w14:textId="77777777" w:rsidTr="00FF3895">
        <w:trPr>
          <w:trHeight w:val="287"/>
          <w:jc w:val="center"/>
        </w:trPr>
        <w:tc>
          <w:tcPr>
            <w:tcW w:w="1443" w:type="dxa"/>
            <w:tcBorders>
              <w:top w:val="nil"/>
              <w:left w:val="nil"/>
              <w:bottom w:val="nil"/>
              <w:right w:val="nil"/>
            </w:tcBorders>
            <w:shd w:val="clear" w:color="auto" w:fill="auto"/>
            <w:noWrap/>
            <w:vAlign w:val="bottom"/>
            <w:hideMark/>
          </w:tcPr>
          <w:p w14:paraId="65183F36" w14:textId="77777777" w:rsidR="00154427" w:rsidRPr="00830BAD" w:rsidRDefault="00154427" w:rsidP="00830BAD">
            <w:pPr>
              <w:spacing w:after="0" w:line="240" w:lineRule="auto"/>
              <w:jc w:val="both"/>
              <w:rPr>
                <w:rFonts w:eastAsia="Times New Roman" w:cstheme="minorHAnsi"/>
                <w:color w:val="000000"/>
              </w:rPr>
            </w:pPr>
          </w:p>
        </w:tc>
        <w:tc>
          <w:tcPr>
            <w:tcW w:w="825" w:type="dxa"/>
            <w:tcBorders>
              <w:top w:val="nil"/>
              <w:left w:val="nil"/>
              <w:bottom w:val="nil"/>
              <w:right w:val="nil"/>
            </w:tcBorders>
            <w:shd w:val="clear" w:color="auto" w:fill="auto"/>
            <w:noWrap/>
            <w:vAlign w:val="center"/>
            <w:hideMark/>
          </w:tcPr>
          <w:p w14:paraId="6E3DF92B" w14:textId="77777777" w:rsidR="00154427" w:rsidRPr="00830BAD" w:rsidRDefault="003B7BE5" w:rsidP="00830BAD">
            <w:pPr>
              <w:spacing w:after="0" w:line="240" w:lineRule="auto"/>
              <w:jc w:val="both"/>
              <w:rPr>
                <w:rFonts w:eastAsia="Times New Roman" w:cstheme="minorHAnsi"/>
                <w:color w:val="000000"/>
              </w:rPr>
            </w:pPr>
            <w:r w:rsidRPr="00830BAD">
              <w:rPr>
                <w:rFonts w:eastAsia="Times New Roman" w:cstheme="minorHAnsi"/>
                <w:color w:val="000000"/>
              </w:rPr>
              <w:t>Good</w:t>
            </w:r>
          </w:p>
        </w:tc>
        <w:tc>
          <w:tcPr>
            <w:tcW w:w="1560" w:type="dxa"/>
            <w:tcBorders>
              <w:top w:val="nil"/>
              <w:left w:val="nil"/>
              <w:bottom w:val="nil"/>
              <w:right w:val="nil"/>
            </w:tcBorders>
            <w:shd w:val="clear" w:color="auto" w:fill="auto"/>
            <w:noWrap/>
            <w:vAlign w:val="center"/>
            <w:hideMark/>
          </w:tcPr>
          <w:p w14:paraId="5A8CDECE"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14 (21.9%)</w:t>
            </w:r>
          </w:p>
        </w:tc>
        <w:tc>
          <w:tcPr>
            <w:tcW w:w="1567" w:type="dxa"/>
            <w:tcBorders>
              <w:top w:val="nil"/>
              <w:left w:val="nil"/>
              <w:bottom w:val="nil"/>
              <w:right w:val="nil"/>
            </w:tcBorders>
            <w:shd w:val="clear" w:color="auto" w:fill="auto"/>
            <w:noWrap/>
            <w:vAlign w:val="center"/>
            <w:hideMark/>
          </w:tcPr>
          <w:p w14:paraId="694C6C29"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18 (28.1%)</w:t>
            </w:r>
          </w:p>
        </w:tc>
        <w:tc>
          <w:tcPr>
            <w:tcW w:w="838" w:type="dxa"/>
            <w:vMerge/>
            <w:tcBorders>
              <w:top w:val="nil"/>
              <w:left w:val="nil"/>
              <w:bottom w:val="nil"/>
              <w:right w:val="nil"/>
            </w:tcBorders>
            <w:vAlign w:val="center"/>
            <w:hideMark/>
          </w:tcPr>
          <w:p w14:paraId="33DE4D3E" w14:textId="77777777" w:rsidR="00154427" w:rsidRPr="00830BAD" w:rsidRDefault="00154427" w:rsidP="00830BAD">
            <w:pPr>
              <w:spacing w:after="0" w:line="240" w:lineRule="auto"/>
              <w:jc w:val="both"/>
              <w:rPr>
                <w:rFonts w:eastAsia="Times New Roman" w:cstheme="minorHAnsi"/>
                <w:color w:val="000000"/>
              </w:rPr>
            </w:pPr>
          </w:p>
        </w:tc>
        <w:tc>
          <w:tcPr>
            <w:tcW w:w="750" w:type="dxa"/>
            <w:tcBorders>
              <w:top w:val="nil"/>
              <w:left w:val="nil"/>
              <w:bottom w:val="nil"/>
              <w:right w:val="nil"/>
            </w:tcBorders>
            <w:shd w:val="clear" w:color="auto" w:fill="auto"/>
            <w:noWrap/>
            <w:vAlign w:val="center"/>
            <w:hideMark/>
          </w:tcPr>
          <w:p w14:paraId="72461006"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1.000</w:t>
            </w:r>
          </w:p>
        </w:tc>
        <w:tc>
          <w:tcPr>
            <w:tcW w:w="844" w:type="dxa"/>
            <w:tcBorders>
              <w:top w:val="nil"/>
              <w:left w:val="nil"/>
              <w:bottom w:val="nil"/>
              <w:right w:val="nil"/>
            </w:tcBorders>
            <w:shd w:val="clear" w:color="auto" w:fill="auto"/>
            <w:noWrap/>
            <w:vAlign w:val="bottom"/>
            <w:hideMark/>
          </w:tcPr>
          <w:p w14:paraId="04E1A17B" w14:textId="77777777" w:rsidR="00154427" w:rsidRPr="00830BAD" w:rsidRDefault="00154427" w:rsidP="00830BAD">
            <w:pPr>
              <w:spacing w:after="0" w:line="240" w:lineRule="auto"/>
              <w:jc w:val="both"/>
              <w:rPr>
                <w:rFonts w:eastAsia="Times New Roman" w:cstheme="minorHAnsi"/>
                <w:color w:val="000000"/>
              </w:rPr>
            </w:pPr>
          </w:p>
        </w:tc>
        <w:tc>
          <w:tcPr>
            <w:tcW w:w="965" w:type="dxa"/>
            <w:gridSpan w:val="2"/>
            <w:tcBorders>
              <w:top w:val="nil"/>
              <w:left w:val="nil"/>
              <w:bottom w:val="nil"/>
              <w:right w:val="nil"/>
            </w:tcBorders>
            <w:shd w:val="clear" w:color="auto" w:fill="auto"/>
            <w:noWrap/>
            <w:vAlign w:val="bottom"/>
            <w:hideMark/>
          </w:tcPr>
          <w:p w14:paraId="5EFCA35B" w14:textId="77777777" w:rsidR="00154427" w:rsidRPr="00830BAD" w:rsidRDefault="00154427" w:rsidP="00830BAD">
            <w:pPr>
              <w:spacing w:after="0" w:line="240" w:lineRule="auto"/>
              <w:jc w:val="both"/>
              <w:rPr>
                <w:rFonts w:eastAsia="Times New Roman" w:cstheme="minorHAnsi"/>
              </w:rPr>
            </w:pPr>
          </w:p>
        </w:tc>
      </w:tr>
      <w:tr w:rsidR="003B7BE5" w:rsidRPr="00830BAD" w14:paraId="7FE7F625" w14:textId="77777777" w:rsidTr="00FF3895">
        <w:trPr>
          <w:trHeight w:val="277"/>
          <w:jc w:val="center"/>
        </w:trPr>
        <w:tc>
          <w:tcPr>
            <w:tcW w:w="1443" w:type="dxa"/>
            <w:tcBorders>
              <w:top w:val="nil"/>
              <w:left w:val="nil"/>
              <w:bottom w:val="nil"/>
              <w:right w:val="nil"/>
            </w:tcBorders>
            <w:shd w:val="clear" w:color="auto" w:fill="auto"/>
            <w:noWrap/>
            <w:vAlign w:val="center"/>
            <w:hideMark/>
          </w:tcPr>
          <w:p w14:paraId="17ACF2F2"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Protein</w:t>
            </w:r>
          </w:p>
        </w:tc>
        <w:tc>
          <w:tcPr>
            <w:tcW w:w="825" w:type="dxa"/>
            <w:tcBorders>
              <w:top w:val="nil"/>
              <w:left w:val="nil"/>
              <w:bottom w:val="nil"/>
              <w:right w:val="nil"/>
            </w:tcBorders>
            <w:shd w:val="clear" w:color="auto" w:fill="auto"/>
            <w:noWrap/>
            <w:vAlign w:val="center"/>
            <w:hideMark/>
          </w:tcPr>
          <w:p w14:paraId="60F0EAC1" w14:textId="77777777" w:rsidR="00154427" w:rsidRPr="00830BAD" w:rsidRDefault="003B7BE5" w:rsidP="00830BAD">
            <w:pPr>
              <w:spacing w:after="0" w:line="240" w:lineRule="auto"/>
              <w:jc w:val="both"/>
              <w:rPr>
                <w:rFonts w:eastAsia="Times New Roman" w:cstheme="minorHAnsi"/>
                <w:color w:val="000000"/>
              </w:rPr>
            </w:pPr>
            <w:r w:rsidRPr="00830BAD">
              <w:rPr>
                <w:rFonts w:eastAsia="Times New Roman" w:cstheme="minorHAnsi"/>
                <w:color w:val="000000"/>
              </w:rPr>
              <w:t>Less</w:t>
            </w:r>
          </w:p>
        </w:tc>
        <w:tc>
          <w:tcPr>
            <w:tcW w:w="1560" w:type="dxa"/>
            <w:tcBorders>
              <w:top w:val="nil"/>
              <w:left w:val="nil"/>
              <w:bottom w:val="nil"/>
              <w:right w:val="nil"/>
            </w:tcBorders>
            <w:shd w:val="clear" w:color="auto" w:fill="auto"/>
            <w:noWrap/>
            <w:vAlign w:val="center"/>
            <w:hideMark/>
          </w:tcPr>
          <w:p w14:paraId="156ADAD6"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39 (60.9%)</w:t>
            </w:r>
          </w:p>
        </w:tc>
        <w:tc>
          <w:tcPr>
            <w:tcW w:w="1567" w:type="dxa"/>
            <w:tcBorders>
              <w:top w:val="nil"/>
              <w:left w:val="nil"/>
              <w:bottom w:val="nil"/>
              <w:right w:val="nil"/>
            </w:tcBorders>
            <w:shd w:val="clear" w:color="auto" w:fill="auto"/>
            <w:noWrap/>
            <w:vAlign w:val="center"/>
            <w:hideMark/>
          </w:tcPr>
          <w:p w14:paraId="3F5A0CB9"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30 (46.9%)</w:t>
            </w:r>
          </w:p>
        </w:tc>
        <w:tc>
          <w:tcPr>
            <w:tcW w:w="838" w:type="dxa"/>
            <w:vMerge w:val="restart"/>
            <w:tcBorders>
              <w:top w:val="nil"/>
              <w:left w:val="nil"/>
              <w:bottom w:val="nil"/>
              <w:right w:val="nil"/>
            </w:tcBorders>
            <w:shd w:val="clear" w:color="auto" w:fill="auto"/>
            <w:noWrap/>
            <w:vAlign w:val="center"/>
            <w:hideMark/>
          </w:tcPr>
          <w:p w14:paraId="7CA6EBE5"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0.093</w:t>
            </w:r>
          </w:p>
        </w:tc>
        <w:tc>
          <w:tcPr>
            <w:tcW w:w="750" w:type="dxa"/>
            <w:tcBorders>
              <w:top w:val="nil"/>
              <w:left w:val="nil"/>
              <w:bottom w:val="nil"/>
              <w:right w:val="nil"/>
            </w:tcBorders>
            <w:shd w:val="clear" w:color="auto" w:fill="auto"/>
            <w:noWrap/>
            <w:vAlign w:val="center"/>
            <w:hideMark/>
          </w:tcPr>
          <w:p w14:paraId="2AB4B677"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1.159</w:t>
            </w:r>
          </w:p>
        </w:tc>
        <w:tc>
          <w:tcPr>
            <w:tcW w:w="844" w:type="dxa"/>
            <w:tcBorders>
              <w:top w:val="nil"/>
              <w:left w:val="nil"/>
              <w:bottom w:val="nil"/>
              <w:right w:val="nil"/>
            </w:tcBorders>
            <w:shd w:val="clear" w:color="auto" w:fill="auto"/>
            <w:noWrap/>
            <w:vAlign w:val="center"/>
            <w:hideMark/>
          </w:tcPr>
          <w:p w14:paraId="71C8B9E3"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0.796</w:t>
            </w:r>
          </w:p>
        </w:tc>
        <w:tc>
          <w:tcPr>
            <w:tcW w:w="965" w:type="dxa"/>
            <w:gridSpan w:val="2"/>
            <w:tcBorders>
              <w:top w:val="nil"/>
              <w:left w:val="nil"/>
              <w:bottom w:val="nil"/>
              <w:right w:val="nil"/>
            </w:tcBorders>
            <w:shd w:val="clear" w:color="auto" w:fill="auto"/>
            <w:noWrap/>
            <w:vAlign w:val="center"/>
            <w:hideMark/>
          </w:tcPr>
          <w:p w14:paraId="3C901E52"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1.687</w:t>
            </w:r>
          </w:p>
        </w:tc>
      </w:tr>
      <w:tr w:rsidR="003B7BE5" w:rsidRPr="00830BAD" w14:paraId="53D22B15" w14:textId="77777777" w:rsidTr="00FF3895">
        <w:trPr>
          <w:trHeight w:val="281"/>
          <w:jc w:val="center"/>
        </w:trPr>
        <w:tc>
          <w:tcPr>
            <w:tcW w:w="1443" w:type="dxa"/>
            <w:tcBorders>
              <w:top w:val="nil"/>
              <w:left w:val="nil"/>
              <w:bottom w:val="nil"/>
              <w:right w:val="nil"/>
            </w:tcBorders>
            <w:shd w:val="clear" w:color="auto" w:fill="auto"/>
            <w:noWrap/>
            <w:vAlign w:val="bottom"/>
            <w:hideMark/>
          </w:tcPr>
          <w:p w14:paraId="00DAD8CA" w14:textId="77777777" w:rsidR="00154427" w:rsidRPr="00830BAD" w:rsidRDefault="00154427" w:rsidP="00830BAD">
            <w:pPr>
              <w:spacing w:after="0" w:line="240" w:lineRule="auto"/>
              <w:jc w:val="both"/>
              <w:rPr>
                <w:rFonts w:eastAsia="Times New Roman" w:cstheme="minorHAnsi"/>
                <w:color w:val="000000"/>
              </w:rPr>
            </w:pPr>
          </w:p>
        </w:tc>
        <w:tc>
          <w:tcPr>
            <w:tcW w:w="825" w:type="dxa"/>
            <w:tcBorders>
              <w:top w:val="nil"/>
              <w:left w:val="nil"/>
              <w:bottom w:val="nil"/>
              <w:right w:val="nil"/>
            </w:tcBorders>
            <w:shd w:val="clear" w:color="auto" w:fill="auto"/>
            <w:noWrap/>
            <w:vAlign w:val="center"/>
            <w:hideMark/>
          </w:tcPr>
          <w:p w14:paraId="66BB6DDC" w14:textId="77777777" w:rsidR="00154427" w:rsidRPr="00830BAD" w:rsidRDefault="003B7BE5" w:rsidP="00830BAD">
            <w:pPr>
              <w:spacing w:after="0" w:line="240" w:lineRule="auto"/>
              <w:jc w:val="both"/>
              <w:rPr>
                <w:rFonts w:eastAsia="Times New Roman" w:cstheme="minorHAnsi"/>
                <w:color w:val="000000"/>
              </w:rPr>
            </w:pPr>
            <w:r w:rsidRPr="00830BAD">
              <w:rPr>
                <w:rFonts w:eastAsia="Times New Roman" w:cstheme="minorHAnsi"/>
                <w:color w:val="000000"/>
              </w:rPr>
              <w:t>More</w:t>
            </w:r>
          </w:p>
        </w:tc>
        <w:tc>
          <w:tcPr>
            <w:tcW w:w="1560" w:type="dxa"/>
            <w:tcBorders>
              <w:top w:val="nil"/>
              <w:left w:val="nil"/>
              <w:bottom w:val="nil"/>
              <w:right w:val="nil"/>
            </w:tcBorders>
            <w:shd w:val="clear" w:color="auto" w:fill="auto"/>
            <w:noWrap/>
            <w:vAlign w:val="center"/>
            <w:hideMark/>
          </w:tcPr>
          <w:p w14:paraId="3F727EC5"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5 (7.8%)</w:t>
            </w:r>
          </w:p>
        </w:tc>
        <w:tc>
          <w:tcPr>
            <w:tcW w:w="1567" w:type="dxa"/>
            <w:tcBorders>
              <w:top w:val="nil"/>
              <w:left w:val="nil"/>
              <w:bottom w:val="nil"/>
              <w:right w:val="nil"/>
            </w:tcBorders>
            <w:shd w:val="clear" w:color="auto" w:fill="auto"/>
            <w:noWrap/>
            <w:vAlign w:val="center"/>
            <w:hideMark/>
          </w:tcPr>
          <w:p w14:paraId="26761573"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13 (20.3%)</w:t>
            </w:r>
          </w:p>
        </w:tc>
        <w:tc>
          <w:tcPr>
            <w:tcW w:w="838" w:type="dxa"/>
            <w:vMerge/>
            <w:tcBorders>
              <w:top w:val="nil"/>
              <w:left w:val="nil"/>
              <w:bottom w:val="nil"/>
              <w:right w:val="nil"/>
            </w:tcBorders>
            <w:vAlign w:val="center"/>
            <w:hideMark/>
          </w:tcPr>
          <w:p w14:paraId="1B219401" w14:textId="77777777" w:rsidR="00154427" w:rsidRPr="00830BAD" w:rsidRDefault="00154427" w:rsidP="00830BAD">
            <w:pPr>
              <w:spacing w:after="0" w:line="240" w:lineRule="auto"/>
              <w:jc w:val="both"/>
              <w:rPr>
                <w:rFonts w:eastAsia="Times New Roman" w:cstheme="minorHAnsi"/>
                <w:color w:val="000000"/>
              </w:rPr>
            </w:pPr>
          </w:p>
        </w:tc>
        <w:tc>
          <w:tcPr>
            <w:tcW w:w="750" w:type="dxa"/>
            <w:tcBorders>
              <w:top w:val="nil"/>
              <w:left w:val="nil"/>
              <w:bottom w:val="nil"/>
              <w:right w:val="nil"/>
            </w:tcBorders>
            <w:shd w:val="clear" w:color="auto" w:fill="auto"/>
            <w:noWrap/>
            <w:vAlign w:val="center"/>
            <w:hideMark/>
          </w:tcPr>
          <w:p w14:paraId="723798D1"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0.569</w:t>
            </w:r>
          </w:p>
        </w:tc>
        <w:tc>
          <w:tcPr>
            <w:tcW w:w="844" w:type="dxa"/>
            <w:tcBorders>
              <w:top w:val="nil"/>
              <w:left w:val="nil"/>
              <w:bottom w:val="nil"/>
              <w:right w:val="nil"/>
            </w:tcBorders>
            <w:shd w:val="clear" w:color="auto" w:fill="auto"/>
            <w:noWrap/>
            <w:vAlign w:val="center"/>
            <w:hideMark/>
          </w:tcPr>
          <w:p w14:paraId="59EE7B71"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0.254</w:t>
            </w:r>
          </w:p>
        </w:tc>
        <w:tc>
          <w:tcPr>
            <w:tcW w:w="965" w:type="dxa"/>
            <w:gridSpan w:val="2"/>
            <w:tcBorders>
              <w:top w:val="nil"/>
              <w:left w:val="nil"/>
              <w:bottom w:val="nil"/>
              <w:right w:val="nil"/>
            </w:tcBorders>
            <w:shd w:val="clear" w:color="auto" w:fill="auto"/>
            <w:noWrap/>
            <w:vAlign w:val="center"/>
            <w:hideMark/>
          </w:tcPr>
          <w:p w14:paraId="2D027F16"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1.278</w:t>
            </w:r>
          </w:p>
        </w:tc>
      </w:tr>
      <w:tr w:rsidR="003B7BE5" w:rsidRPr="00830BAD" w14:paraId="091543F2" w14:textId="77777777" w:rsidTr="00FF3895">
        <w:trPr>
          <w:trHeight w:val="286"/>
          <w:jc w:val="center"/>
        </w:trPr>
        <w:tc>
          <w:tcPr>
            <w:tcW w:w="1443" w:type="dxa"/>
            <w:tcBorders>
              <w:top w:val="nil"/>
              <w:left w:val="nil"/>
              <w:bottom w:val="nil"/>
              <w:right w:val="nil"/>
            </w:tcBorders>
            <w:shd w:val="clear" w:color="auto" w:fill="auto"/>
            <w:noWrap/>
            <w:vAlign w:val="bottom"/>
            <w:hideMark/>
          </w:tcPr>
          <w:p w14:paraId="40CBB865" w14:textId="77777777" w:rsidR="00154427" w:rsidRPr="00830BAD" w:rsidRDefault="00154427" w:rsidP="00830BAD">
            <w:pPr>
              <w:spacing w:after="0" w:line="240" w:lineRule="auto"/>
              <w:jc w:val="both"/>
              <w:rPr>
                <w:rFonts w:eastAsia="Times New Roman" w:cstheme="minorHAnsi"/>
                <w:color w:val="000000"/>
              </w:rPr>
            </w:pPr>
          </w:p>
        </w:tc>
        <w:tc>
          <w:tcPr>
            <w:tcW w:w="825" w:type="dxa"/>
            <w:tcBorders>
              <w:top w:val="nil"/>
              <w:left w:val="nil"/>
              <w:bottom w:val="nil"/>
              <w:right w:val="nil"/>
            </w:tcBorders>
            <w:shd w:val="clear" w:color="auto" w:fill="auto"/>
            <w:noWrap/>
            <w:vAlign w:val="center"/>
            <w:hideMark/>
          </w:tcPr>
          <w:p w14:paraId="626DC684" w14:textId="77777777" w:rsidR="00154427" w:rsidRPr="00830BAD" w:rsidRDefault="003B7BE5" w:rsidP="00830BAD">
            <w:pPr>
              <w:spacing w:after="0" w:line="240" w:lineRule="auto"/>
              <w:jc w:val="both"/>
              <w:rPr>
                <w:rFonts w:eastAsia="Times New Roman" w:cstheme="minorHAnsi"/>
                <w:color w:val="000000"/>
              </w:rPr>
            </w:pPr>
            <w:r w:rsidRPr="00830BAD">
              <w:rPr>
                <w:rFonts w:eastAsia="Times New Roman" w:cstheme="minorHAnsi"/>
                <w:color w:val="000000"/>
              </w:rPr>
              <w:t xml:space="preserve"> Good</w:t>
            </w:r>
          </w:p>
        </w:tc>
        <w:tc>
          <w:tcPr>
            <w:tcW w:w="1560" w:type="dxa"/>
            <w:tcBorders>
              <w:top w:val="nil"/>
              <w:left w:val="nil"/>
              <w:bottom w:val="nil"/>
              <w:right w:val="nil"/>
            </w:tcBorders>
            <w:shd w:val="clear" w:color="auto" w:fill="auto"/>
            <w:noWrap/>
            <w:vAlign w:val="center"/>
            <w:hideMark/>
          </w:tcPr>
          <w:p w14:paraId="2865AF44"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20 (31.3%)</w:t>
            </w:r>
          </w:p>
        </w:tc>
        <w:tc>
          <w:tcPr>
            <w:tcW w:w="1567" w:type="dxa"/>
            <w:tcBorders>
              <w:top w:val="nil"/>
              <w:left w:val="nil"/>
              <w:bottom w:val="nil"/>
              <w:right w:val="nil"/>
            </w:tcBorders>
            <w:shd w:val="clear" w:color="auto" w:fill="auto"/>
            <w:noWrap/>
            <w:vAlign w:val="center"/>
            <w:hideMark/>
          </w:tcPr>
          <w:p w14:paraId="60017A19"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21 (32.8%)</w:t>
            </w:r>
          </w:p>
        </w:tc>
        <w:tc>
          <w:tcPr>
            <w:tcW w:w="838" w:type="dxa"/>
            <w:vMerge/>
            <w:tcBorders>
              <w:top w:val="nil"/>
              <w:left w:val="nil"/>
              <w:bottom w:val="nil"/>
              <w:right w:val="nil"/>
            </w:tcBorders>
            <w:vAlign w:val="center"/>
            <w:hideMark/>
          </w:tcPr>
          <w:p w14:paraId="33B60C57" w14:textId="77777777" w:rsidR="00154427" w:rsidRPr="00830BAD" w:rsidRDefault="00154427" w:rsidP="00830BAD">
            <w:pPr>
              <w:spacing w:after="0" w:line="240" w:lineRule="auto"/>
              <w:jc w:val="both"/>
              <w:rPr>
                <w:rFonts w:eastAsia="Times New Roman" w:cstheme="minorHAnsi"/>
                <w:color w:val="000000"/>
              </w:rPr>
            </w:pPr>
          </w:p>
        </w:tc>
        <w:tc>
          <w:tcPr>
            <w:tcW w:w="750" w:type="dxa"/>
            <w:tcBorders>
              <w:top w:val="nil"/>
              <w:left w:val="nil"/>
              <w:bottom w:val="nil"/>
              <w:right w:val="nil"/>
            </w:tcBorders>
            <w:shd w:val="clear" w:color="auto" w:fill="auto"/>
            <w:noWrap/>
            <w:vAlign w:val="center"/>
            <w:hideMark/>
          </w:tcPr>
          <w:p w14:paraId="6A0437BA"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1.000</w:t>
            </w:r>
          </w:p>
        </w:tc>
        <w:tc>
          <w:tcPr>
            <w:tcW w:w="844" w:type="dxa"/>
            <w:tcBorders>
              <w:top w:val="nil"/>
              <w:left w:val="nil"/>
              <w:bottom w:val="nil"/>
              <w:right w:val="nil"/>
            </w:tcBorders>
            <w:shd w:val="clear" w:color="auto" w:fill="auto"/>
            <w:noWrap/>
            <w:vAlign w:val="bottom"/>
            <w:hideMark/>
          </w:tcPr>
          <w:p w14:paraId="3EDAB768" w14:textId="77777777" w:rsidR="00154427" w:rsidRPr="00830BAD" w:rsidRDefault="00154427" w:rsidP="00830BAD">
            <w:pPr>
              <w:spacing w:after="0" w:line="240" w:lineRule="auto"/>
              <w:jc w:val="both"/>
              <w:rPr>
                <w:rFonts w:eastAsia="Times New Roman" w:cstheme="minorHAnsi"/>
                <w:color w:val="000000"/>
              </w:rPr>
            </w:pPr>
          </w:p>
        </w:tc>
        <w:tc>
          <w:tcPr>
            <w:tcW w:w="965" w:type="dxa"/>
            <w:gridSpan w:val="2"/>
            <w:tcBorders>
              <w:top w:val="nil"/>
              <w:left w:val="nil"/>
              <w:bottom w:val="nil"/>
              <w:right w:val="nil"/>
            </w:tcBorders>
            <w:shd w:val="clear" w:color="auto" w:fill="auto"/>
            <w:noWrap/>
            <w:vAlign w:val="bottom"/>
            <w:hideMark/>
          </w:tcPr>
          <w:p w14:paraId="67BAECA4" w14:textId="77777777" w:rsidR="00154427" w:rsidRPr="00830BAD" w:rsidRDefault="00154427" w:rsidP="00830BAD">
            <w:pPr>
              <w:spacing w:after="0" w:line="240" w:lineRule="auto"/>
              <w:jc w:val="both"/>
              <w:rPr>
                <w:rFonts w:eastAsia="Times New Roman" w:cstheme="minorHAnsi"/>
              </w:rPr>
            </w:pPr>
          </w:p>
        </w:tc>
      </w:tr>
      <w:tr w:rsidR="003B7BE5" w:rsidRPr="00830BAD" w14:paraId="6ED4D637" w14:textId="77777777" w:rsidTr="00FF3895">
        <w:trPr>
          <w:trHeight w:val="275"/>
          <w:jc w:val="center"/>
        </w:trPr>
        <w:tc>
          <w:tcPr>
            <w:tcW w:w="1443" w:type="dxa"/>
            <w:tcBorders>
              <w:top w:val="nil"/>
              <w:left w:val="nil"/>
              <w:bottom w:val="nil"/>
              <w:right w:val="nil"/>
            </w:tcBorders>
            <w:shd w:val="clear" w:color="auto" w:fill="auto"/>
            <w:noWrap/>
            <w:vAlign w:val="center"/>
            <w:hideMark/>
          </w:tcPr>
          <w:p w14:paraId="0FDC51C4" w14:textId="77777777" w:rsidR="00154427" w:rsidRPr="00830BAD" w:rsidRDefault="00155C26" w:rsidP="00830BAD">
            <w:pPr>
              <w:spacing w:after="0" w:line="240" w:lineRule="auto"/>
              <w:jc w:val="both"/>
              <w:rPr>
                <w:rFonts w:eastAsia="Times New Roman" w:cstheme="minorHAnsi"/>
                <w:color w:val="000000"/>
              </w:rPr>
            </w:pPr>
            <w:r w:rsidRPr="00830BAD">
              <w:rPr>
                <w:rFonts w:eastAsia="Times New Roman" w:cstheme="minorHAnsi"/>
                <w:color w:val="000000"/>
              </w:rPr>
              <w:t>Fat</w:t>
            </w:r>
          </w:p>
        </w:tc>
        <w:tc>
          <w:tcPr>
            <w:tcW w:w="825" w:type="dxa"/>
            <w:tcBorders>
              <w:top w:val="nil"/>
              <w:left w:val="nil"/>
              <w:bottom w:val="nil"/>
              <w:right w:val="nil"/>
            </w:tcBorders>
            <w:shd w:val="clear" w:color="auto" w:fill="auto"/>
            <w:noWrap/>
            <w:vAlign w:val="center"/>
            <w:hideMark/>
          </w:tcPr>
          <w:p w14:paraId="12397E2F" w14:textId="77777777" w:rsidR="00154427" w:rsidRPr="00830BAD" w:rsidRDefault="003B7BE5" w:rsidP="00830BAD">
            <w:pPr>
              <w:spacing w:after="0" w:line="240" w:lineRule="auto"/>
              <w:jc w:val="both"/>
              <w:rPr>
                <w:rFonts w:eastAsia="Times New Roman" w:cstheme="minorHAnsi"/>
                <w:color w:val="000000"/>
              </w:rPr>
            </w:pPr>
            <w:r w:rsidRPr="00830BAD">
              <w:rPr>
                <w:rFonts w:eastAsia="Times New Roman" w:cstheme="minorHAnsi"/>
                <w:color w:val="000000"/>
              </w:rPr>
              <w:t>Less</w:t>
            </w:r>
          </w:p>
        </w:tc>
        <w:tc>
          <w:tcPr>
            <w:tcW w:w="1560" w:type="dxa"/>
            <w:tcBorders>
              <w:top w:val="nil"/>
              <w:left w:val="nil"/>
              <w:bottom w:val="nil"/>
              <w:right w:val="nil"/>
            </w:tcBorders>
            <w:shd w:val="clear" w:color="auto" w:fill="auto"/>
            <w:noWrap/>
            <w:vAlign w:val="center"/>
            <w:hideMark/>
          </w:tcPr>
          <w:p w14:paraId="42AA8A78"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36 (56.3%)</w:t>
            </w:r>
          </w:p>
        </w:tc>
        <w:tc>
          <w:tcPr>
            <w:tcW w:w="1567" w:type="dxa"/>
            <w:tcBorders>
              <w:top w:val="nil"/>
              <w:left w:val="nil"/>
              <w:bottom w:val="nil"/>
              <w:right w:val="nil"/>
            </w:tcBorders>
            <w:shd w:val="clear" w:color="auto" w:fill="auto"/>
            <w:noWrap/>
            <w:vAlign w:val="center"/>
            <w:hideMark/>
          </w:tcPr>
          <w:p w14:paraId="238EFCAE"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37 (57.8%)</w:t>
            </w:r>
          </w:p>
        </w:tc>
        <w:tc>
          <w:tcPr>
            <w:tcW w:w="838" w:type="dxa"/>
            <w:vMerge w:val="restart"/>
            <w:tcBorders>
              <w:top w:val="nil"/>
              <w:left w:val="nil"/>
              <w:bottom w:val="single" w:sz="4" w:space="0" w:color="000000"/>
              <w:right w:val="nil"/>
            </w:tcBorders>
            <w:shd w:val="clear" w:color="auto" w:fill="auto"/>
            <w:noWrap/>
            <w:vAlign w:val="center"/>
            <w:hideMark/>
          </w:tcPr>
          <w:p w14:paraId="3F8065F2"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0.615</w:t>
            </w:r>
          </w:p>
        </w:tc>
        <w:tc>
          <w:tcPr>
            <w:tcW w:w="750" w:type="dxa"/>
            <w:tcBorders>
              <w:top w:val="nil"/>
              <w:left w:val="nil"/>
              <w:bottom w:val="nil"/>
              <w:right w:val="nil"/>
            </w:tcBorders>
            <w:shd w:val="clear" w:color="auto" w:fill="auto"/>
            <w:noWrap/>
            <w:vAlign w:val="center"/>
            <w:hideMark/>
          </w:tcPr>
          <w:p w14:paraId="3BD3BA60"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1.092</w:t>
            </w:r>
          </w:p>
        </w:tc>
        <w:tc>
          <w:tcPr>
            <w:tcW w:w="844" w:type="dxa"/>
            <w:tcBorders>
              <w:top w:val="nil"/>
              <w:left w:val="nil"/>
              <w:bottom w:val="nil"/>
              <w:right w:val="nil"/>
            </w:tcBorders>
            <w:shd w:val="clear" w:color="auto" w:fill="auto"/>
            <w:noWrap/>
            <w:vAlign w:val="center"/>
            <w:hideMark/>
          </w:tcPr>
          <w:p w14:paraId="44A1B6F6"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0.695</w:t>
            </w:r>
          </w:p>
        </w:tc>
        <w:tc>
          <w:tcPr>
            <w:tcW w:w="965" w:type="dxa"/>
            <w:gridSpan w:val="2"/>
            <w:tcBorders>
              <w:top w:val="nil"/>
              <w:left w:val="nil"/>
              <w:bottom w:val="nil"/>
              <w:right w:val="nil"/>
            </w:tcBorders>
            <w:shd w:val="clear" w:color="auto" w:fill="auto"/>
            <w:noWrap/>
            <w:vAlign w:val="center"/>
            <w:hideMark/>
          </w:tcPr>
          <w:p w14:paraId="0AF4DD27"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1.716</w:t>
            </w:r>
          </w:p>
        </w:tc>
      </w:tr>
      <w:tr w:rsidR="003B7BE5" w:rsidRPr="00830BAD" w14:paraId="3D4F544E" w14:textId="77777777" w:rsidTr="00FF3895">
        <w:trPr>
          <w:trHeight w:val="283"/>
          <w:jc w:val="center"/>
        </w:trPr>
        <w:tc>
          <w:tcPr>
            <w:tcW w:w="1443" w:type="dxa"/>
            <w:tcBorders>
              <w:top w:val="nil"/>
              <w:left w:val="nil"/>
              <w:bottom w:val="nil"/>
              <w:right w:val="nil"/>
            </w:tcBorders>
            <w:shd w:val="clear" w:color="auto" w:fill="auto"/>
            <w:noWrap/>
            <w:vAlign w:val="bottom"/>
            <w:hideMark/>
          </w:tcPr>
          <w:p w14:paraId="762AECE5" w14:textId="77777777" w:rsidR="00154427" w:rsidRPr="00830BAD" w:rsidRDefault="00154427" w:rsidP="00830BAD">
            <w:pPr>
              <w:spacing w:after="0" w:line="240" w:lineRule="auto"/>
              <w:jc w:val="both"/>
              <w:rPr>
                <w:rFonts w:eastAsia="Times New Roman" w:cstheme="minorHAnsi"/>
                <w:color w:val="000000"/>
              </w:rPr>
            </w:pPr>
          </w:p>
        </w:tc>
        <w:tc>
          <w:tcPr>
            <w:tcW w:w="825" w:type="dxa"/>
            <w:tcBorders>
              <w:top w:val="nil"/>
              <w:left w:val="nil"/>
              <w:bottom w:val="nil"/>
              <w:right w:val="nil"/>
            </w:tcBorders>
            <w:shd w:val="clear" w:color="auto" w:fill="auto"/>
            <w:noWrap/>
            <w:vAlign w:val="center"/>
            <w:hideMark/>
          </w:tcPr>
          <w:p w14:paraId="67CF0334" w14:textId="77777777" w:rsidR="00154427" w:rsidRPr="00830BAD" w:rsidRDefault="003B7BE5" w:rsidP="00830BAD">
            <w:pPr>
              <w:spacing w:after="0" w:line="240" w:lineRule="auto"/>
              <w:jc w:val="both"/>
              <w:rPr>
                <w:rFonts w:eastAsia="Times New Roman" w:cstheme="minorHAnsi"/>
                <w:color w:val="000000"/>
              </w:rPr>
            </w:pPr>
            <w:r w:rsidRPr="00830BAD">
              <w:rPr>
                <w:rFonts w:eastAsia="Times New Roman" w:cstheme="minorHAnsi"/>
                <w:color w:val="000000"/>
              </w:rPr>
              <w:t>More</w:t>
            </w:r>
          </w:p>
        </w:tc>
        <w:tc>
          <w:tcPr>
            <w:tcW w:w="1560" w:type="dxa"/>
            <w:tcBorders>
              <w:top w:val="nil"/>
              <w:left w:val="nil"/>
              <w:bottom w:val="nil"/>
              <w:right w:val="nil"/>
            </w:tcBorders>
            <w:shd w:val="clear" w:color="auto" w:fill="auto"/>
            <w:noWrap/>
            <w:vAlign w:val="center"/>
            <w:hideMark/>
          </w:tcPr>
          <w:p w14:paraId="0BBABF08"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14  (21.9%)</w:t>
            </w:r>
          </w:p>
        </w:tc>
        <w:tc>
          <w:tcPr>
            <w:tcW w:w="1567" w:type="dxa"/>
            <w:tcBorders>
              <w:top w:val="nil"/>
              <w:left w:val="nil"/>
              <w:bottom w:val="nil"/>
              <w:right w:val="nil"/>
            </w:tcBorders>
            <w:shd w:val="clear" w:color="auto" w:fill="auto"/>
            <w:noWrap/>
            <w:vAlign w:val="center"/>
            <w:hideMark/>
          </w:tcPr>
          <w:p w14:paraId="163F40EB"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10 (15.6%)</w:t>
            </w:r>
          </w:p>
        </w:tc>
        <w:tc>
          <w:tcPr>
            <w:tcW w:w="838" w:type="dxa"/>
            <w:vMerge/>
            <w:tcBorders>
              <w:top w:val="nil"/>
              <w:left w:val="nil"/>
              <w:bottom w:val="single" w:sz="4" w:space="0" w:color="000000"/>
              <w:right w:val="nil"/>
            </w:tcBorders>
            <w:vAlign w:val="center"/>
            <w:hideMark/>
          </w:tcPr>
          <w:p w14:paraId="13AA34E4" w14:textId="77777777" w:rsidR="00154427" w:rsidRPr="00830BAD" w:rsidRDefault="00154427" w:rsidP="00830BAD">
            <w:pPr>
              <w:spacing w:after="0" w:line="240" w:lineRule="auto"/>
              <w:jc w:val="both"/>
              <w:rPr>
                <w:rFonts w:eastAsia="Times New Roman" w:cstheme="minorHAnsi"/>
                <w:color w:val="000000"/>
              </w:rPr>
            </w:pPr>
          </w:p>
        </w:tc>
        <w:tc>
          <w:tcPr>
            <w:tcW w:w="750" w:type="dxa"/>
            <w:tcBorders>
              <w:top w:val="nil"/>
              <w:left w:val="nil"/>
              <w:bottom w:val="nil"/>
              <w:right w:val="nil"/>
            </w:tcBorders>
            <w:shd w:val="clear" w:color="auto" w:fill="auto"/>
            <w:noWrap/>
            <w:vAlign w:val="center"/>
            <w:hideMark/>
          </w:tcPr>
          <w:p w14:paraId="03BBC72E"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1.292</w:t>
            </w:r>
          </w:p>
        </w:tc>
        <w:tc>
          <w:tcPr>
            <w:tcW w:w="844" w:type="dxa"/>
            <w:tcBorders>
              <w:top w:val="nil"/>
              <w:left w:val="nil"/>
              <w:bottom w:val="nil"/>
              <w:right w:val="nil"/>
            </w:tcBorders>
            <w:shd w:val="clear" w:color="auto" w:fill="auto"/>
            <w:noWrap/>
            <w:vAlign w:val="center"/>
            <w:hideMark/>
          </w:tcPr>
          <w:p w14:paraId="55D4D39A"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0.772</w:t>
            </w:r>
          </w:p>
        </w:tc>
        <w:tc>
          <w:tcPr>
            <w:tcW w:w="965" w:type="dxa"/>
            <w:gridSpan w:val="2"/>
            <w:tcBorders>
              <w:top w:val="nil"/>
              <w:left w:val="nil"/>
              <w:bottom w:val="nil"/>
              <w:right w:val="nil"/>
            </w:tcBorders>
            <w:shd w:val="clear" w:color="auto" w:fill="auto"/>
            <w:noWrap/>
            <w:vAlign w:val="center"/>
            <w:hideMark/>
          </w:tcPr>
          <w:p w14:paraId="60C69502"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2.161</w:t>
            </w:r>
          </w:p>
        </w:tc>
      </w:tr>
      <w:tr w:rsidR="003B7BE5" w:rsidRPr="00830BAD" w14:paraId="20B0847B" w14:textId="77777777" w:rsidTr="00FF3895">
        <w:trPr>
          <w:trHeight w:val="287"/>
          <w:jc w:val="center"/>
        </w:trPr>
        <w:tc>
          <w:tcPr>
            <w:tcW w:w="1443" w:type="dxa"/>
            <w:tcBorders>
              <w:top w:val="nil"/>
              <w:left w:val="nil"/>
              <w:bottom w:val="single" w:sz="4" w:space="0" w:color="auto"/>
              <w:right w:val="nil"/>
            </w:tcBorders>
            <w:shd w:val="clear" w:color="auto" w:fill="auto"/>
            <w:noWrap/>
            <w:vAlign w:val="center"/>
            <w:hideMark/>
          </w:tcPr>
          <w:p w14:paraId="2762015D"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 </w:t>
            </w:r>
          </w:p>
        </w:tc>
        <w:tc>
          <w:tcPr>
            <w:tcW w:w="825" w:type="dxa"/>
            <w:tcBorders>
              <w:top w:val="nil"/>
              <w:left w:val="nil"/>
              <w:bottom w:val="single" w:sz="4" w:space="0" w:color="auto"/>
              <w:right w:val="nil"/>
            </w:tcBorders>
            <w:shd w:val="clear" w:color="auto" w:fill="auto"/>
            <w:noWrap/>
            <w:vAlign w:val="center"/>
            <w:hideMark/>
          </w:tcPr>
          <w:p w14:paraId="75DB1C22" w14:textId="77777777" w:rsidR="00154427" w:rsidRPr="00830BAD" w:rsidRDefault="003B7BE5" w:rsidP="00830BAD">
            <w:pPr>
              <w:spacing w:after="0" w:line="240" w:lineRule="auto"/>
              <w:jc w:val="both"/>
              <w:rPr>
                <w:rFonts w:eastAsia="Times New Roman" w:cstheme="minorHAnsi"/>
                <w:color w:val="000000"/>
              </w:rPr>
            </w:pPr>
            <w:r w:rsidRPr="00830BAD">
              <w:rPr>
                <w:rFonts w:eastAsia="Times New Roman" w:cstheme="minorHAnsi"/>
                <w:color w:val="000000"/>
              </w:rPr>
              <w:t>Good</w:t>
            </w:r>
          </w:p>
        </w:tc>
        <w:tc>
          <w:tcPr>
            <w:tcW w:w="1560" w:type="dxa"/>
            <w:tcBorders>
              <w:top w:val="nil"/>
              <w:left w:val="nil"/>
              <w:bottom w:val="single" w:sz="4" w:space="0" w:color="auto"/>
              <w:right w:val="nil"/>
            </w:tcBorders>
            <w:shd w:val="clear" w:color="auto" w:fill="auto"/>
            <w:noWrap/>
            <w:vAlign w:val="center"/>
            <w:hideMark/>
          </w:tcPr>
          <w:p w14:paraId="71D32BE6"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14 (21.9%)</w:t>
            </w:r>
          </w:p>
        </w:tc>
        <w:tc>
          <w:tcPr>
            <w:tcW w:w="1567" w:type="dxa"/>
            <w:tcBorders>
              <w:top w:val="nil"/>
              <w:left w:val="nil"/>
              <w:bottom w:val="single" w:sz="4" w:space="0" w:color="auto"/>
              <w:right w:val="nil"/>
            </w:tcBorders>
            <w:shd w:val="clear" w:color="auto" w:fill="auto"/>
            <w:noWrap/>
            <w:vAlign w:val="center"/>
            <w:hideMark/>
          </w:tcPr>
          <w:p w14:paraId="4D4817F5"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17  (26.6%)</w:t>
            </w:r>
          </w:p>
        </w:tc>
        <w:tc>
          <w:tcPr>
            <w:tcW w:w="838" w:type="dxa"/>
            <w:vMerge/>
            <w:tcBorders>
              <w:top w:val="nil"/>
              <w:left w:val="nil"/>
              <w:bottom w:val="single" w:sz="4" w:space="0" w:color="000000"/>
              <w:right w:val="nil"/>
            </w:tcBorders>
            <w:vAlign w:val="center"/>
            <w:hideMark/>
          </w:tcPr>
          <w:p w14:paraId="61CBE027" w14:textId="77777777" w:rsidR="00154427" w:rsidRPr="00830BAD" w:rsidRDefault="00154427" w:rsidP="00830BAD">
            <w:pPr>
              <w:spacing w:after="0" w:line="240" w:lineRule="auto"/>
              <w:jc w:val="both"/>
              <w:rPr>
                <w:rFonts w:eastAsia="Times New Roman" w:cstheme="minorHAnsi"/>
                <w:color w:val="000000"/>
              </w:rPr>
            </w:pPr>
          </w:p>
        </w:tc>
        <w:tc>
          <w:tcPr>
            <w:tcW w:w="750" w:type="dxa"/>
            <w:tcBorders>
              <w:top w:val="nil"/>
              <w:left w:val="nil"/>
              <w:bottom w:val="single" w:sz="4" w:space="0" w:color="auto"/>
              <w:right w:val="nil"/>
            </w:tcBorders>
            <w:shd w:val="clear" w:color="auto" w:fill="auto"/>
            <w:noWrap/>
            <w:vAlign w:val="center"/>
            <w:hideMark/>
          </w:tcPr>
          <w:p w14:paraId="65632350"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1.000</w:t>
            </w:r>
          </w:p>
        </w:tc>
        <w:tc>
          <w:tcPr>
            <w:tcW w:w="844" w:type="dxa"/>
            <w:tcBorders>
              <w:top w:val="nil"/>
              <w:left w:val="nil"/>
              <w:bottom w:val="single" w:sz="4" w:space="0" w:color="auto"/>
              <w:right w:val="nil"/>
            </w:tcBorders>
            <w:shd w:val="clear" w:color="auto" w:fill="auto"/>
            <w:noWrap/>
            <w:vAlign w:val="center"/>
            <w:hideMark/>
          </w:tcPr>
          <w:p w14:paraId="274EAA87"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 </w:t>
            </w:r>
          </w:p>
        </w:tc>
        <w:tc>
          <w:tcPr>
            <w:tcW w:w="965" w:type="dxa"/>
            <w:gridSpan w:val="2"/>
            <w:tcBorders>
              <w:top w:val="nil"/>
              <w:left w:val="nil"/>
              <w:bottom w:val="single" w:sz="4" w:space="0" w:color="auto"/>
              <w:right w:val="nil"/>
            </w:tcBorders>
            <w:shd w:val="clear" w:color="auto" w:fill="auto"/>
            <w:noWrap/>
            <w:vAlign w:val="center"/>
            <w:hideMark/>
          </w:tcPr>
          <w:p w14:paraId="0FF0B731" w14:textId="77777777" w:rsidR="00154427" w:rsidRPr="00830BAD" w:rsidRDefault="00154427" w:rsidP="00830BAD">
            <w:pPr>
              <w:spacing w:after="0" w:line="240" w:lineRule="auto"/>
              <w:jc w:val="both"/>
              <w:rPr>
                <w:rFonts w:eastAsia="Times New Roman" w:cstheme="minorHAnsi"/>
                <w:color w:val="000000"/>
              </w:rPr>
            </w:pPr>
            <w:r w:rsidRPr="00830BAD">
              <w:rPr>
                <w:rFonts w:eastAsia="Times New Roman" w:cstheme="minorHAnsi"/>
                <w:color w:val="000000"/>
              </w:rPr>
              <w:t> </w:t>
            </w:r>
          </w:p>
        </w:tc>
      </w:tr>
    </w:tbl>
    <w:p w14:paraId="2ED72692" w14:textId="77777777" w:rsidR="00687A0E" w:rsidRDefault="00102E2A" w:rsidP="00830BAD">
      <w:pPr>
        <w:spacing w:line="240" w:lineRule="auto"/>
        <w:jc w:val="both"/>
        <w:rPr>
          <w:rFonts w:cstheme="minorHAnsi"/>
          <w:i/>
          <w:color w:val="000000" w:themeColor="text1"/>
        </w:rPr>
      </w:pPr>
      <w:r w:rsidRPr="00830BAD">
        <w:rPr>
          <w:rFonts w:cstheme="minorHAnsi"/>
        </w:rPr>
        <w:t>*</w:t>
      </w:r>
      <w:r w:rsidR="004C5AB6" w:rsidRPr="00830BAD">
        <w:rPr>
          <w:rFonts w:cstheme="minorHAnsi"/>
          <w:i/>
          <w:color w:val="000000" w:themeColor="text1"/>
        </w:rPr>
        <w:t>Chi-square</w:t>
      </w:r>
    </w:p>
    <w:p w14:paraId="0EEF783F" w14:textId="4745B0FE" w:rsidR="00C17085" w:rsidRPr="00830BAD" w:rsidRDefault="00483081" w:rsidP="00830BAD">
      <w:pPr>
        <w:spacing w:line="240" w:lineRule="auto"/>
        <w:jc w:val="both"/>
        <w:rPr>
          <w:rFonts w:cstheme="minorHAnsi"/>
          <w:i/>
          <w:color w:val="000000" w:themeColor="text1"/>
        </w:rPr>
      </w:pPr>
      <w:r w:rsidRPr="004E02D7">
        <w:rPr>
          <w:rFonts w:cstheme="minorHAnsi"/>
          <w:lang w:val="en"/>
        </w:rPr>
        <w:t>Respondents who experience dysmenorrhea and not dysmenorrhea have less macronutrient intake (carbohydrate, fat, protein), i</w:t>
      </w:r>
      <w:r w:rsidR="003821EF">
        <w:rPr>
          <w:rFonts w:cstheme="minorHAnsi"/>
          <w:lang w:val="en"/>
        </w:rPr>
        <w:t>.e.,</w:t>
      </w:r>
      <w:r w:rsidR="00935C4E">
        <w:rPr>
          <w:rFonts w:cstheme="minorHAnsi"/>
          <w:lang w:val="en"/>
        </w:rPr>
        <w:t xml:space="preserve"> the p</w:t>
      </w:r>
      <w:r w:rsidR="003821EF">
        <w:rPr>
          <w:rFonts w:cstheme="minorHAnsi"/>
          <w:lang w:val="en"/>
        </w:rPr>
        <w:t>-</w:t>
      </w:r>
      <w:r w:rsidR="00935C4E">
        <w:rPr>
          <w:rFonts w:cstheme="minorHAnsi"/>
          <w:lang w:val="en"/>
        </w:rPr>
        <w:t xml:space="preserve">value is&gt; 0.05 (table </w:t>
      </w:r>
      <w:r w:rsidRPr="004E02D7">
        <w:rPr>
          <w:rFonts w:cstheme="minorHAnsi"/>
          <w:lang w:val="en"/>
        </w:rPr>
        <w:t>3).</w:t>
      </w:r>
    </w:p>
    <w:tbl>
      <w:tblPr>
        <w:tblW w:w="8755" w:type="dxa"/>
        <w:jc w:val="center"/>
        <w:tblLook w:val="04A0" w:firstRow="1" w:lastRow="0" w:firstColumn="1" w:lastColumn="0" w:noHBand="0" w:noVBand="1"/>
      </w:tblPr>
      <w:tblGrid>
        <w:gridCol w:w="843"/>
        <w:gridCol w:w="1000"/>
        <w:gridCol w:w="1666"/>
        <w:gridCol w:w="1613"/>
        <w:gridCol w:w="831"/>
        <w:gridCol w:w="819"/>
        <w:gridCol w:w="983"/>
        <w:gridCol w:w="1000"/>
      </w:tblGrid>
      <w:tr w:rsidR="00643818" w:rsidRPr="00830BAD" w14:paraId="4BC44ECE" w14:textId="77777777" w:rsidTr="00FF3895">
        <w:trPr>
          <w:trHeight w:val="252"/>
          <w:jc w:val="center"/>
        </w:trPr>
        <w:tc>
          <w:tcPr>
            <w:tcW w:w="8755" w:type="dxa"/>
            <w:gridSpan w:val="8"/>
            <w:tcBorders>
              <w:top w:val="single" w:sz="4" w:space="0" w:color="auto"/>
              <w:left w:val="nil"/>
              <w:bottom w:val="single" w:sz="4" w:space="0" w:color="auto"/>
              <w:right w:val="nil"/>
            </w:tcBorders>
            <w:shd w:val="clear" w:color="auto" w:fill="auto"/>
            <w:noWrap/>
            <w:vAlign w:val="center"/>
            <w:hideMark/>
          </w:tcPr>
          <w:p w14:paraId="13E4CE20" w14:textId="34A1FA66" w:rsidR="00643818" w:rsidRPr="00830BAD" w:rsidRDefault="00155C26" w:rsidP="00830BAD">
            <w:pPr>
              <w:spacing w:after="0" w:line="240" w:lineRule="auto"/>
              <w:jc w:val="both"/>
              <w:rPr>
                <w:rFonts w:eastAsia="Times New Roman" w:cstheme="minorHAnsi"/>
                <w:color w:val="000000"/>
              </w:rPr>
            </w:pPr>
            <w:r w:rsidRPr="00830BAD">
              <w:rPr>
                <w:rFonts w:eastAsia="Times New Roman" w:cstheme="minorHAnsi"/>
                <w:b/>
                <w:color w:val="000000"/>
              </w:rPr>
              <w:t>Table</w:t>
            </w:r>
            <w:r w:rsidR="007A79F8">
              <w:rPr>
                <w:rFonts w:eastAsia="Times New Roman" w:cstheme="minorHAnsi"/>
                <w:b/>
                <w:color w:val="000000"/>
              </w:rPr>
              <w:t xml:space="preserve"> </w:t>
            </w:r>
            <w:r w:rsidR="00643818" w:rsidRPr="00830BAD">
              <w:rPr>
                <w:rFonts w:eastAsia="Times New Roman" w:cstheme="minorHAnsi"/>
                <w:b/>
                <w:color w:val="000000"/>
              </w:rPr>
              <w:t>4</w:t>
            </w:r>
            <w:r w:rsidRPr="00830BAD">
              <w:rPr>
                <w:rFonts w:eastAsia="Times New Roman" w:cstheme="minorHAnsi"/>
                <w:b/>
                <w:color w:val="000000"/>
              </w:rPr>
              <w:t xml:space="preserve"> </w:t>
            </w:r>
            <w:r w:rsidRPr="00830BAD">
              <w:rPr>
                <w:rFonts w:eastAsia="Times New Roman" w:cstheme="minorHAnsi"/>
                <w:color w:val="000000"/>
              </w:rPr>
              <w:t>The Impact of Stress Analysis with Dysmenore Events</w:t>
            </w:r>
            <w:r w:rsidR="0096561E">
              <w:rPr>
                <w:rFonts w:eastAsia="Times New Roman" w:cstheme="minorHAnsi"/>
                <w:color w:val="000000"/>
              </w:rPr>
              <w:t>.</w:t>
            </w:r>
          </w:p>
        </w:tc>
      </w:tr>
      <w:tr w:rsidR="00643818" w:rsidRPr="00830BAD" w14:paraId="6B738CD9" w14:textId="77777777" w:rsidTr="00FF3895">
        <w:trPr>
          <w:trHeight w:val="300"/>
          <w:jc w:val="center"/>
        </w:trPr>
        <w:tc>
          <w:tcPr>
            <w:tcW w:w="1843" w:type="dxa"/>
            <w:gridSpan w:val="2"/>
            <w:vMerge w:val="restart"/>
            <w:tcBorders>
              <w:top w:val="single" w:sz="4" w:space="0" w:color="auto"/>
              <w:left w:val="nil"/>
              <w:bottom w:val="single" w:sz="4" w:space="0" w:color="000000"/>
              <w:right w:val="nil"/>
            </w:tcBorders>
            <w:shd w:val="clear" w:color="auto" w:fill="auto"/>
            <w:noWrap/>
            <w:vAlign w:val="center"/>
            <w:hideMark/>
          </w:tcPr>
          <w:p w14:paraId="451022FB" w14:textId="77777777" w:rsidR="00643818" w:rsidRPr="00830BAD" w:rsidRDefault="00C17085" w:rsidP="00C17085">
            <w:pPr>
              <w:spacing w:after="0" w:line="240" w:lineRule="auto"/>
              <w:jc w:val="center"/>
              <w:rPr>
                <w:rFonts w:eastAsia="Times New Roman" w:cstheme="minorHAnsi"/>
                <w:b/>
                <w:color w:val="000000"/>
              </w:rPr>
            </w:pPr>
            <w:r>
              <w:rPr>
                <w:rFonts w:eastAsia="Times New Roman" w:cstheme="minorHAnsi"/>
                <w:b/>
                <w:color w:val="000000"/>
              </w:rPr>
              <w:t>Variable</w:t>
            </w:r>
          </w:p>
        </w:tc>
        <w:tc>
          <w:tcPr>
            <w:tcW w:w="1666" w:type="dxa"/>
            <w:vMerge w:val="restart"/>
            <w:tcBorders>
              <w:top w:val="nil"/>
              <w:left w:val="nil"/>
              <w:bottom w:val="single" w:sz="4" w:space="0" w:color="000000"/>
              <w:right w:val="nil"/>
            </w:tcBorders>
            <w:shd w:val="clear" w:color="auto" w:fill="auto"/>
            <w:noWrap/>
            <w:vAlign w:val="center"/>
            <w:hideMark/>
          </w:tcPr>
          <w:p w14:paraId="171AD17A" w14:textId="77777777" w:rsidR="00643818" w:rsidRPr="00830BAD" w:rsidRDefault="00155C26" w:rsidP="00C17085">
            <w:pPr>
              <w:spacing w:after="0" w:line="240" w:lineRule="auto"/>
              <w:jc w:val="center"/>
              <w:rPr>
                <w:rFonts w:eastAsia="Times New Roman" w:cstheme="minorHAnsi"/>
                <w:b/>
                <w:color w:val="000000"/>
              </w:rPr>
            </w:pPr>
            <w:r w:rsidRPr="00830BAD">
              <w:rPr>
                <w:rFonts w:eastAsia="Times New Roman" w:cstheme="minorHAnsi"/>
                <w:b/>
                <w:bCs/>
                <w:color w:val="000000"/>
              </w:rPr>
              <w:t>Dysmenorrhea</w:t>
            </w:r>
            <w:r w:rsidRPr="00830BAD">
              <w:rPr>
                <w:rFonts w:eastAsia="Times New Roman" w:cstheme="minorHAnsi"/>
                <w:b/>
                <w:color w:val="000000"/>
              </w:rPr>
              <w:t xml:space="preserve"> </w:t>
            </w:r>
            <w:r w:rsidR="00643818" w:rsidRPr="00830BAD">
              <w:rPr>
                <w:rFonts w:eastAsia="Times New Roman" w:cstheme="minorHAnsi"/>
                <w:b/>
                <w:color w:val="000000"/>
              </w:rPr>
              <w:t>(n %)</w:t>
            </w:r>
          </w:p>
        </w:tc>
        <w:tc>
          <w:tcPr>
            <w:tcW w:w="1613" w:type="dxa"/>
            <w:vMerge w:val="restart"/>
            <w:tcBorders>
              <w:top w:val="nil"/>
              <w:left w:val="nil"/>
              <w:bottom w:val="single" w:sz="4" w:space="0" w:color="000000"/>
              <w:right w:val="nil"/>
            </w:tcBorders>
            <w:shd w:val="clear" w:color="auto" w:fill="auto"/>
            <w:noWrap/>
            <w:vAlign w:val="center"/>
            <w:hideMark/>
          </w:tcPr>
          <w:p w14:paraId="7AE2E413" w14:textId="77777777" w:rsidR="00643818" w:rsidRPr="00830BAD" w:rsidRDefault="00155C26" w:rsidP="00C17085">
            <w:pPr>
              <w:spacing w:after="0" w:line="240" w:lineRule="auto"/>
              <w:jc w:val="center"/>
              <w:rPr>
                <w:rFonts w:eastAsia="Times New Roman" w:cstheme="minorHAnsi"/>
                <w:b/>
                <w:color w:val="000000"/>
              </w:rPr>
            </w:pPr>
            <w:r w:rsidRPr="00830BAD">
              <w:rPr>
                <w:rFonts w:eastAsia="Times New Roman" w:cstheme="minorHAnsi"/>
                <w:b/>
                <w:color w:val="000000"/>
              </w:rPr>
              <w:t xml:space="preserve">Not </w:t>
            </w:r>
            <w:r w:rsidRPr="00830BAD">
              <w:rPr>
                <w:rFonts w:eastAsia="Times New Roman" w:cstheme="minorHAnsi"/>
                <w:b/>
                <w:bCs/>
                <w:color w:val="000000"/>
              </w:rPr>
              <w:t>Dysmenorrhea</w:t>
            </w:r>
            <w:r w:rsidRPr="00830BAD">
              <w:rPr>
                <w:rFonts w:eastAsia="Times New Roman" w:cstheme="minorHAnsi"/>
                <w:b/>
                <w:color w:val="000000"/>
              </w:rPr>
              <w:t xml:space="preserve"> </w:t>
            </w:r>
            <w:r w:rsidR="00643818" w:rsidRPr="00830BAD">
              <w:rPr>
                <w:rFonts w:eastAsia="Times New Roman" w:cstheme="minorHAnsi"/>
                <w:b/>
                <w:color w:val="000000"/>
              </w:rPr>
              <w:t>(n %)</w:t>
            </w:r>
          </w:p>
        </w:tc>
        <w:tc>
          <w:tcPr>
            <w:tcW w:w="831" w:type="dxa"/>
            <w:vMerge w:val="restart"/>
            <w:tcBorders>
              <w:top w:val="nil"/>
              <w:left w:val="nil"/>
              <w:bottom w:val="single" w:sz="4" w:space="0" w:color="000000"/>
              <w:right w:val="nil"/>
            </w:tcBorders>
            <w:shd w:val="clear" w:color="auto" w:fill="auto"/>
            <w:noWrap/>
            <w:vAlign w:val="center"/>
            <w:hideMark/>
          </w:tcPr>
          <w:p w14:paraId="6D5493ED" w14:textId="77777777" w:rsidR="00643818" w:rsidRPr="00830BAD" w:rsidRDefault="00155C26" w:rsidP="00C17085">
            <w:pPr>
              <w:spacing w:after="0" w:line="240" w:lineRule="auto"/>
              <w:jc w:val="center"/>
              <w:rPr>
                <w:rFonts w:eastAsia="Times New Roman" w:cstheme="minorHAnsi"/>
                <w:b/>
                <w:i/>
                <w:iCs/>
                <w:color w:val="000000"/>
              </w:rPr>
            </w:pPr>
            <w:r w:rsidRPr="00830BAD">
              <w:rPr>
                <w:rFonts w:eastAsia="Times New Roman" w:cstheme="minorHAnsi"/>
                <w:b/>
                <w:i/>
                <w:iCs/>
                <w:color w:val="000000"/>
              </w:rPr>
              <w:t>P</w:t>
            </w:r>
          </w:p>
          <w:p w14:paraId="60BBE202" w14:textId="77777777" w:rsidR="00155C26" w:rsidRPr="00830BAD" w:rsidRDefault="00155C26" w:rsidP="00C17085">
            <w:pPr>
              <w:spacing w:after="0" w:line="240" w:lineRule="auto"/>
              <w:jc w:val="center"/>
              <w:rPr>
                <w:rFonts w:eastAsia="Times New Roman" w:cstheme="minorHAnsi"/>
                <w:b/>
                <w:color w:val="000000"/>
              </w:rPr>
            </w:pPr>
            <w:r w:rsidRPr="00830BAD">
              <w:rPr>
                <w:rFonts w:eastAsia="Times New Roman" w:cstheme="minorHAnsi"/>
                <w:b/>
                <w:i/>
                <w:iCs/>
                <w:color w:val="000000"/>
              </w:rPr>
              <w:t>value</w:t>
            </w:r>
          </w:p>
        </w:tc>
        <w:tc>
          <w:tcPr>
            <w:tcW w:w="819" w:type="dxa"/>
            <w:vMerge w:val="restart"/>
            <w:tcBorders>
              <w:top w:val="nil"/>
              <w:left w:val="nil"/>
              <w:bottom w:val="single" w:sz="4" w:space="0" w:color="000000"/>
              <w:right w:val="nil"/>
            </w:tcBorders>
            <w:shd w:val="clear" w:color="auto" w:fill="auto"/>
            <w:noWrap/>
            <w:vAlign w:val="center"/>
            <w:hideMark/>
          </w:tcPr>
          <w:p w14:paraId="22DA4AC2" w14:textId="77777777" w:rsidR="00643818" w:rsidRPr="00830BAD" w:rsidRDefault="00643818" w:rsidP="00C17085">
            <w:pPr>
              <w:spacing w:after="0" w:line="240" w:lineRule="auto"/>
              <w:jc w:val="center"/>
              <w:rPr>
                <w:rFonts w:eastAsia="Times New Roman" w:cstheme="minorHAnsi"/>
                <w:b/>
                <w:i/>
                <w:color w:val="000000"/>
              </w:rPr>
            </w:pPr>
            <w:r w:rsidRPr="00830BAD">
              <w:rPr>
                <w:rFonts w:eastAsia="Times New Roman" w:cstheme="minorHAnsi"/>
                <w:b/>
                <w:i/>
                <w:color w:val="000000"/>
              </w:rPr>
              <w:t>RR</w:t>
            </w:r>
            <w:r w:rsidR="00155C26" w:rsidRPr="00830BAD">
              <w:rPr>
                <w:rFonts w:eastAsia="Times New Roman" w:cstheme="minorHAnsi"/>
                <w:b/>
                <w:i/>
                <w:color w:val="000000"/>
              </w:rPr>
              <w:t xml:space="preserve"> value</w:t>
            </w:r>
          </w:p>
        </w:tc>
        <w:tc>
          <w:tcPr>
            <w:tcW w:w="1981" w:type="dxa"/>
            <w:gridSpan w:val="2"/>
            <w:tcBorders>
              <w:top w:val="single" w:sz="4" w:space="0" w:color="auto"/>
              <w:left w:val="nil"/>
              <w:bottom w:val="nil"/>
              <w:right w:val="nil"/>
            </w:tcBorders>
            <w:shd w:val="clear" w:color="auto" w:fill="auto"/>
            <w:noWrap/>
            <w:vAlign w:val="center"/>
            <w:hideMark/>
          </w:tcPr>
          <w:p w14:paraId="2B72BAC3" w14:textId="77777777" w:rsidR="00643818" w:rsidRPr="00830BAD" w:rsidRDefault="00643818" w:rsidP="00C17085">
            <w:pPr>
              <w:spacing w:after="0" w:line="240" w:lineRule="auto"/>
              <w:jc w:val="center"/>
              <w:rPr>
                <w:rFonts w:eastAsia="Times New Roman" w:cstheme="minorHAnsi"/>
                <w:b/>
                <w:color w:val="000000"/>
              </w:rPr>
            </w:pPr>
            <w:r w:rsidRPr="00830BAD">
              <w:rPr>
                <w:rFonts w:eastAsia="Times New Roman" w:cstheme="minorHAnsi"/>
                <w:b/>
                <w:color w:val="000000"/>
              </w:rPr>
              <w:t>CI 95 %</w:t>
            </w:r>
          </w:p>
        </w:tc>
      </w:tr>
      <w:tr w:rsidR="00643818" w:rsidRPr="00830BAD" w14:paraId="23D39218" w14:textId="77777777" w:rsidTr="00FF3895">
        <w:trPr>
          <w:trHeight w:val="300"/>
          <w:jc w:val="center"/>
        </w:trPr>
        <w:tc>
          <w:tcPr>
            <w:tcW w:w="1843" w:type="dxa"/>
            <w:gridSpan w:val="2"/>
            <w:vMerge/>
            <w:tcBorders>
              <w:top w:val="single" w:sz="4" w:space="0" w:color="auto"/>
              <w:left w:val="nil"/>
              <w:bottom w:val="single" w:sz="4" w:space="0" w:color="000000"/>
              <w:right w:val="nil"/>
            </w:tcBorders>
            <w:vAlign w:val="center"/>
            <w:hideMark/>
          </w:tcPr>
          <w:p w14:paraId="4AEF6202" w14:textId="77777777" w:rsidR="00643818" w:rsidRPr="00830BAD" w:rsidRDefault="00643818" w:rsidP="00C17085">
            <w:pPr>
              <w:spacing w:after="0" w:line="240" w:lineRule="auto"/>
              <w:jc w:val="center"/>
              <w:rPr>
                <w:rFonts w:eastAsia="Times New Roman" w:cstheme="minorHAnsi"/>
                <w:b/>
                <w:color w:val="000000"/>
              </w:rPr>
            </w:pPr>
          </w:p>
        </w:tc>
        <w:tc>
          <w:tcPr>
            <w:tcW w:w="1666" w:type="dxa"/>
            <w:vMerge/>
            <w:tcBorders>
              <w:top w:val="nil"/>
              <w:left w:val="nil"/>
              <w:bottom w:val="single" w:sz="4" w:space="0" w:color="000000"/>
              <w:right w:val="nil"/>
            </w:tcBorders>
            <w:vAlign w:val="center"/>
            <w:hideMark/>
          </w:tcPr>
          <w:p w14:paraId="5C8FC642" w14:textId="77777777" w:rsidR="00643818" w:rsidRPr="00830BAD" w:rsidRDefault="00643818" w:rsidP="00C17085">
            <w:pPr>
              <w:spacing w:after="0" w:line="240" w:lineRule="auto"/>
              <w:jc w:val="center"/>
              <w:rPr>
                <w:rFonts w:eastAsia="Times New Roman" w:cstheme="minorHAnsi"/>
                <w:b/>
                <w:color w:val="000000"/>
              </w:rPr>
            </w:pPr>
          </w:p>
        </w:tc>
        <w:tc>
          <w:tcPr>
            <w:tcW w:w="1613" w:type="dxa"/>
            <w:vMerge/>
            <w:tcBorders>
              <w:top w:val="nil"/>
              <w:left w:val="nil"/>
              <w:bottom w:val="single" w:sz="4" w:space="0" w:color="000000"/>
              <w:right w:val="nil"/>
            </w:tcBorders>
            <w:vAlign w:val="center"/>
            <w:hideMark/>
          </w:tcPr>
          <w:p w14:paraId="12B5C286" w14:textId="77777777" w:rsidR="00643818" w:rsidRPr="00830BAD" w:rsidRDefault="00643818" w:rsidP="00C17085">
            <w:pPr>
              <w:spacing w:after="0" w:line="240" w:lineRule="auto"/>
              <w:jc w:val="center"/>
              <w:rPr>
                <w:rFonts w:eastAsia="Times New Roman" w:cstheme="minorHAnsi"/>
                <w:b/>
                <w:color w:val="000000"/>
              </w:rPr>
            </w:pPr>
          </w:p>
        </w:tc>
        <w:tc>
          <w:tcPr>
            <w:tcW w:w="831" w:type="dxa"/>
            <w:vMerge/>
            <w:tcBorders>
              <w:top w:val="nil"/>
              <w:left w:val="nil"/>
              <w:bottom w:val="single" w:sz="4" w:space="0" w:color="000000"/>
              <w:right w:val="nil"/>
            </w:tcBorders>
            <w:vAlign w:val="center"/>
            <w:hideMark/>
          </w:tcPr>
          <w:p w14:paraId="61F43B69" w14:textId="77777777" w:rsidR="00643818" w:rsidRPr="00830BAD" w:rsidRDefault="00643818" w:rsidP="00C17085">
            <w:pPr>
              <w:spacing w:after="0" w:line="240" w:lineRule="auto"/>
              <w:jc w:val="center"/>
              <w:rPr>
                <w:rFonts w:eastAsia="Times New Roman" w:cstheme="minorHAnsi"/>
                <w:b/>
                <w:color w:val="000000"/>
              </w:rPr>
            </w:pPr>
          </w:p>
        </w:tc>
        <w:tc>
          <w:tcPr>
            <w:tcW w:w="819" w:type="dxa"/>
            <w:vMerge/>
            <w:tcBorders>
              <w:top w:val="nil"/>
              <w:left w:val="nil"/>
              <w:bottom w:val="single" w:sz="4" w:space="0" w:color="000000"/>
              <w:right w:val="nil"/>
            </w:tcBorders>
            <w:vAlign w:val="center"/>
            <w:hideMark/>
          </w:tcPr>
          <w:p w14:paraId="719815D7" w14:textId="77777777" w:rsidR="00643818" w:rsidRPr="00830BAD" w:rsidRDefault="00643818" w:rsidP="00C17085">
            <w:pPr>
              <w:spacing w:after="0" w:line="240" w:lineRule="auto"/>
              <w:jc w:val="center"/>
              <w:rPr>
                <w:rFonts w:eastAsia="Times New Roman" w:cstheme="minorHAnsi"/>
                <w:b/>
                <w:color w:val="000000"/>
              </w:rPr>
            </w:pPr>
          </w:p>
        </w:tc>
        <w:tc>
          <w:tcPr>
            <w:tcW w:w="983" w:type="dxa"/>
            <w:tcBorders>
              <w:top w:val="nil"/>
              <w:left w:val="nil"/>
              <w:bottom w:val="single" w:sz="4" w:space="0" w:color="auto"/>
              <w:right w:val="nil"/>
            </w:tcBorders>
            <w:shd w:val="clear" w:color="auto" w:fill="auto"/>
            <w:noWrap/>
            <w:vAlign w:val="bottom"/>
            <w:hideMark/>
          </w:tcPr>
          <w:p w14:paraId="728ACC1E" w14:textId="77777777" w:rsidR="00643818" w:rsidRPr="00830BAD" w:rsidRDefault="00643818" w:rsidP="00C17085">
            <w:pPr>
              <w:spacing w:after="0" w:line="240" w:lineRule="auto"/>
              <w:jc w:val="center"/>
              <w:rPr>
                <w:rFonts w:eastAsia="Times New Roman" w:cstheme="minorHAnsi"/>
                <w:b/>
                <w:color w:val="000000"/>
              </w:rPr>
            </w:pPr>
            <w:r w:rsidRPr="00830BAD">
              <w:rPr>
                <w:rFonts w:eastAsia="Times New Roman" w:cstheme="minorHAnsi"/>
                <w:b/>
                <w:color w:val="000000"/>
              </w:rPr>
              <w:t>Lower</w:t>
            </w:r>
          </w:p>
        </w:tc>
        <w:tc>
          <w:tcPr>
            <w:tcW w:w="998" w:type="dxa"/>
            <w:tcBorders>
              <w:top w:val="nil"/>
              <w:left w:val="nil"/>
              <w:bottom w:val="single" w:sz="4" w:space="0" w:color="auto"/>
              <w:right w:val="nil"/>
            </w:tcBorders>
            <w:shd w:val="clear" w:color="auto" w:fill="auto"/>
            <w:noWrap/>
            <w:vAlign w:val="bottom"/>
            <w:hideMark/>
          </w:tcPr>
          <w:p w14:paraId="51C59435" w14:textId="77777777" w:rsidR="00643818" w:rsidRPr="00830BAD" w:rsidRDefault="00643818" w:rsidP="00C17085">
            <w:pPr>
              <w:spacing w:after="0" w:line="240" w:lineRule="auto"/>
              <w:jc w:val="center"/>
              <w:rPr>
                <w:rFonts w:eastAsia="Times New Roman" w:cstheme="minorHAnsi"/>
                <w:b/>
                <w:color w:val="000000"/>
              </w:rPr>
            </w:pPr>
            <w:r w:rsidRPr="00830BAD">
              <w:rPr>
                <w:rFonts w:eastAsia="Times New Roman" w:cstheme="minorHAnsi"/>
                <w:b/>
                <w:color w:val="000000"/>
              </w:rPr>
              <w:t>Upper</w:t>
            </w:r>
          </w:p>
        </w:tc>
      </w:tr>
      <w:tr w:rsidR="00643818" w:rsidRPr="00830BAD" w14:paraId="33C16669" w14:textId="77777777" w:rsidTr="00FF3895">
        <w:trPr>
          <w:trHeight w:val="300"/>
          <w:jc w:val="center"/>
        </w:trPr>
        <w:tc>
          <w:tcPr>
            <w:tcW w:w="843" w:type="dxa"/>
            <w:vMerge w:val="restart"/>
            <w:tcBorders>
              <w:top w:val="nil"/>
              <w:left w:val="nil"/>
              <w:bottom w:val="single" w:sz="4" w:space="0" w:color="000000"/>
              <w:right w:val="nil"/>
            </w:tcBorders>
            <w:shd w:val="clear" w:color="auto" w:fill="auto"/>
            <w:noWrap/>
            <w:vAlign w:val="center"/>
            <w:hideMark/>
          </w:tcPr>
          <w:p w14:paraId="06985839" w14:textId="77777777" w:rsidR="00643818" w:rsidRPr="00830BAD" w:rsidRDefault="00643818" w:rsidP="00C17085">
            <w:pPr>
              <w:spacing w:after="0" w:line="240" w:lineRule="auto"/>
              <w:jc w:val="center"/>
              <w:rPr>
                <w:rFonts w:eastAsia="Times New Roman" w:cstheme="minorHAnsi"/>
                <w:color w:val="000000"/>
              </w:rPr>
            </w:pPr>
            <w:r w:rsidRPr="00830BAD">
              <w:rPr>
                <w:rFonts w:eastAsia="Times New Roman" w:cstheme="minorHAnsi"/>
                <w:color w:val="000000"/>
              </w:rPr>
              <w:t>Stre</w:t>
            </w:r>
            <w:r w:rsidR="00065988">
              <w:rPr>
                <w:rFonts w:eastAsia="Times New Roman" w:cstheme="minorHAnsi"/>
                <w:color w:val="000000"/>
              </w:rPr>
              <w:t>s</w:t>
            </w:r>
            <w:r w:rsidRPr="00830BAD">
              <w:rPr>
                <w:rFonts w:eastAsia="Times New Roman" w:cstheme="minorHAnsi"/>
                <w:color w:val="000000"/>
              </w:rPr>
              <w:t>s</w:t>
            </w:r>
          </w:p>
        </w:tc>
        <w:tc>
          <w:tcPr>
            <w:tcW w:w="1000" w:type="dxa"/>
            <w:tcBorders>
              <w:top w:val="nil"/>
              <w:left w:val="nil"/>
              <w:bottom w:val="nil"/>
              <w:right w:val="nil"/>
            </w:tcBorders>
            <w:shd w:val="clear" w:color="000000" w:fill="FFFFFF"/>
            <w:noWrap/>
            <w:vAlign w:val="center"/>
            <w:hideMark/>
          </w:tcPr>
          <w:p w14:paraId="1D7D2A59" w14:textId="151E2096" w:rsidR="00643818" w:rsidRPr="00830BAD" w:rsidRDefault="001148DD" w:rsidP="001C5CFE">
            <w:pPr>
              <w:spacing w:after="0" w:line="240" w:lineRule="auto"/>
              <w:jc w:val="center"/>
              <w:rPr>
                <w:rFonts w:eastAsia="Times New Roman" w:cstheme="minorHAnsi"/>
                <w:color w:val="000000"/>
              </w:rPr>
            </w:pPr>
            <w:r>
              <w:rPr>
                <w:rFonts w:eastAsia="Times New Roman" w:cstheme="minorHAnsi"/>
                <w:color w:val="000000"/>
              </w:rPr>
              <w:t>L</w:t>
            </w:r>
            <w:r w:rsidR="001C5CFE">
              <w:rPr>
                <w:rFonts w:eastAsia="Times New Roman" w:cstheme="minorHAnsi"/>
                <w:color w:val="000000"/>
              </w:rPr>
              <w:t>ow</w:t>
            </w:r>
          </w:p>
        </w:tc>
        <w:tc>
          <w:tcPr>
            <w:tcW w:w="1666" w:type="dxa"/>
            <w:tcBorders>
              <w:top w:val="nil"/>
              <w:left w:val="nil"/>
              <w:bottom w:val="nil"/>
              <w:right w:val="nil"/>
            </w:tcBorders>
            <w:shd w:val="clear" w:color="000000" w:fill="FFFFFF"/>
            <w:noWrap/>
            <w:vAlign w:val="center"/>
            <w:hideMark/>
          </w:tcPr>
          <w:p w14:paraId="65CE4F2D" w14:textId="77777777" w:rsidR="00643818" w:rsidRPr="00830BAD" w:rsidRDefault="00643818" w:rsidP="00C17085">
            <w:pPr>
              <w:spacing w:after="0" w:line="240" w:lineRule="auto"/>
              <w:jc w:val="center"/>
              <w:rPr>
                <w:rFonts w:eastAsia="Times New Roman" w:cstheme="minorHAnsi"/>
                <w:color w:val="000000"/>
              </w:rPr>
            </w:pPr>
            <w:r w:rsidRPr="00830BAD">
              <w:rPr>
                <w:rFonts w:eastAsia="Times New Roman" w:cstheme="minorHAnsi"/>
                <w:color w:val="000000"/>
              </w:rPr>
              <w:t>15 (23.4 %)</w:t>
            </w:r>
          </w:p>
        </w:tc>
        <w:tc>
          <w:tcPr>
            <w:tcW w:w="1613" w:type="dxa"/>
            <w:tcBorders>
              <w:top w:val="nil"/>
              <w:left w:val="nil"/>
              <w:bottom w:val="nil"/>
              <w:right w:val="nil"/>
            </w:tcBorders>
            <w:shd w:val="clear" w:color="000000" w:fill="FFFFFF"/>
            <w:noWrap/>
            <w:vAlign w:val="center"/>
            <w:hideMark/>
          </w:tcPr>
          <w:p w14:paraId="36C0700D" w14:textId="77777777" w:rsidR="00643818" w:rsidRPr="00830BAD" w:rsidRDefault="00643818" w:rsidP="00C17085">
            <w:pPr>
              <w:spacing w:after="0" w:line="240" w:lineRule="auto"/>
              <w:jc w:val="center"/>
              <w:rPr>
                <w:rFonts w:eastAsia="Times New Roman" w:cstheme="minorHAnsi"/>
                <w:color w:val="000000"/>
              </w:rPr>
            </w:pPr>
            <w:r w:rsidRPr="00830BAD">
              <w:rPr>
                <w:rFonts w:eastAsia="Times New Roman" w:cstheme="minorHAnsi"/>
                <w:color w:val="000000"/>
              </w:rPr>
              <w:t>21 (32.8 %)</w:t>
            </w:r>
          </w:p>
        </w:tc>
        <w:tc>
          <w:tcPr>
            <w:tcW w:w="831" w:type="dxa"/>
            <w:vMerge w:val="restart"/>
            <w:tcBorders>
              <w:top w:val="nil"/>
              <w:left w:val="nil"/>
              <w:bottom w:val="single" w:sz="4" w:space="0" w:color="000000"/>
              <w:right w:val="nil"/>
            </w:tcBorders>
            <w:shd w:val="clear" w:color="000000" w:fill="FFFFFF"/>
            <w:noWrap/>
            <w:vAlign w:val="center"/>
            <w:hideMark/>
          </w:tcPr>
          <w:p w14:paraId="0F97827C" w14:textId="77777777" w:rsidR="00643818" w:rsidRPr="00830BAD" w:rsidRDefault="00643818" w:rsidP="00C17085">
            <w:pPr>
              <w:spacing w:after="0" w:line="240" w:lineRule="auto"/>
              <w:jc w:val="center"/>
              <w:rPr>
                <w:rFonts w:eastAsia="Times New Roman" w:cstheme="minorHAnsi"/>
                <w:color w:val="000000"/>
              </w:rPr>
            </w:pPr>
            <w:r w:rsidRPr="00830BAD">
              <w:rPr>
                <w:rFonts w:eastAsia="Times New Roman" w:cstheme="minorHAnsi"/>
                <w:color w:val="000000"/>
              </w:rPr>
              <w:t>0.002</w:t>
            </w:r>
          </w:p>
        </w:tc>
        <w:tc>
          <w:tcPr>
            <w:tcW w:w="819" w:type="dxa"/>
            <w:tcBorders>
              <w:top w:val="nil"/>
              <w:left w:val="nil"/>
              <w:bottom w:val="nil"/>
              <w:right w:val="nil"/>
            </w:tcBorders>
            <w:shd w:val="clear" w:color="000000" w:fill="FFFFFF"/>
            <w:noWrap/>
            <w:vAlign w:val="center"/>
            <w:hideMark/>
          </w:tcPr>
          <w:p w14:paraId="427587C5" w14:textId="77777777" w:rsidR="00643818" w:rsidRPr="00830BAD" w:rsidRDefault="00643818" w:rsidP="00C17085">
            <w:pPr>
              <w:spacing w:after="0" w:line="240" w:lineRule="auto"/>
              <w:jc w:val="center"/>
              <w:rPr>
                <w:rFonts w:eastAsia="Times New Roman" w:cstheme="minorHAnsi"/>
                <w:color w:val="000000"/>
              </w:rPr>
            </w:pPr>
            <w:r w:rsidRPr="00830BAD">
              <w:rPr>
                <w:rFonts w:eastAsia="Times New Roman" w:cstheme="minorHAnsi"/>
                <w:color w:val="000000"/>
              </w:rPr>
              <w:t>1.5</w:t>
            </w:r>
          </w:p>
        </w:tc>
        <w:tc>
          <w:tcPr>
            <w:tcW w:w="983" w:type="dxa"/>
            <w:tcBorders>
              <w:top w:val="nil"/>
              <w:left w:val="nil"/>
              <w:bottom w:val="nil"/>
              <w:right w:val="nil"/>
            </w:tcBorders>
            <w:shd w:val="clear" w:color="000000" w:fill="FFFFFF"/>
            <w:noWrap/>
            <w:vAlign w:val="center"/>
            <w:hideMark/>
          </w:tcPr>
          <w:p w14:paraId="31E6574D" w14:textId="77777777" w:rsidR="00643818" w:rsidRPr="00830BAD" w:rsidRDefault="00643818" w:rsidP="00C17085">
            <w:pPr>
              <w:spacing w:after="0" w:line="240" w:lineRule="auto"/>
              <w:jc w:val="center"/>
              <w:rPr>
                <w:rFonts w:eastAsia="Times New Roman" w:cstheme="minorHAnsi"/>
                <w:color w:val="000000"/>
              </w:rPr>
            </w:pPr>
            <w:r w:rsidRPr="00830BAD">
              <w:rPr>
                <w:rFonts w:eastAsia="Times New Roman" w:cstheme="minorHAnsi"/>
                <w:color w:val="000000"/>
              </w:rPr>
              <w:t>0.78</w:t>
            </w:r>
          </w:p>
        </w:tc>
        <w:tc>
          <w:tcPr>
            <w:tcW w:w="998" w:type="dxa"/>
            <w:tcBorders>
              <w:top w:val="nil"/>
              <w:left w:val="nil"/>
              <w:bottom w:val="nil"/>
              <w:right w:val="nil"/>
            </w:tcBorders>
            <w:shd w:val="clear" w:color="000000" w:fill="FFFFFF"/>
            <w:noWrap/>
            <w:vAlign w:val="center"/>
            <w:hideMark/>
          </w:tcPr>
          <w:p w14:paraId="6CAFEA6E" w14:textId="77777777" w:rsidR="00643818" w:rsidRPr="00830BAD" w:rsidRDefault="00643818" w:rsidP="00C17085">
            <w:pPr>
              <w:spacing w:after="0" w:line="240" w:lineRule="auto"/>
              <w:jc w:val="center"/>
              <w:rPr>
                <w:rFonts w:eastAsia="Times New Roman" w:cstheme="minorHAnsi"/>
                <w:color w:val="000000"/>
              </w:rPr>
            </w:pPr>
            <w:r w:rsidRPr="00830BAD">
              <w:rPr>
                <w:rFonts w:eastAsia="Times New Roman" w:cstheme="minorHAnsi"/>
                <w:color w:val="000000"/>
              </w:rPr>
              <w:t>2.883</w:t>
            </w:r>
          </w:p>
        </w:tc>
      </w:tr>
      <w:tr w:rsidR="00643818" w:rsidRPr="00830BAD" w14:paraId="055D7814" w14:textId="77777777" w:rsidTr="00FF3895">
        <w:trPr>
          <w:trHeight w:val="300"/>
          <w:jc w:val="center"/>
        </w:trPr>
        <w:tc>
          <w:tcPr>
            <w:tcW w:w="843" w:type="dxa"/>
            <w:vMerge/>
            <w:tcBorders>
              <w:top w:val="nil"/>
              <w:left w:val="nil"/>
              <w:bottom w:val="single" w:sz="4" w:space="0" w:color="000000"/>
              <w:right w:val="nil"/>
            </w:tcBorders>
            <w:vAlign w:val="center"/>
            <w:hideMark/>
          </w:tcPr>
          <w:p w14:paraId="1D82AC14" w14:textId="77777777" w:rsidR="00643818" w:rsidRPr="00830BAD" w:rsidRDefault="00643818" w:rsidP="00C17085">
            <w:pPr>
              <w:spacing w:after="0" w:line="240" w:lineRule="auto"/>
              <w:jc w:val="center"/>
              <w:rPr>
                <w:rFonts w:eastAsia="Times New Roman" w:cstheme="minorHAnsi"/>
                <w:color w:val="000000"/>
              </w:rPr>
            </w:pPr>
          </w:p>
        </w:tc>
        <w:tc>
          <w:tcPr>
            <w:tcW w:w="1000" w:type="dxa"/>
            <w:tcBorders>
              <w:top w:val="nil"/>
              <w:left w:val="nil"/>
              <w:bottom w:val="nil"/>
              <w:right w:val="nil"/>
            </w:tcBorders>
            <w:shd w:val="clear" w:color="000000" w:fill="FFFFFF"/>
            <w:vAlign w:val="center"/>
            <w:hideMark/>
          </w:tcPr>
          <w:p w14:paraId="39103E41" w14:textId="43E3B64C" w:rsidR="00643818" w:rsidRPr="00830BAD" w:rsidRDefault="001148DD" w:rsidP="001F624F">
            <w:pPr>
              <w:spacing w:after="0" w:line="240" w:lineRule="auto"/>
              <w:jc w:val="center"/>
              <w:rPr>
                <w:rFonts w:eastAsia="Times New Roman" w:cstheme="minorHAnsi"/>
                <w:color w:val="000000"/>
              </w:rPr>
            </w:pPr>
            <w:r>
              <w:rPr>
                <w:rFonts w:eastAsia="Times New Roman" w:cstheme="minorHAnsi"/>
                <w:color w:val="000000"/>
              </w:rPr>
              <w:t>M</w:t>
            </w:r>
            <w:r w:rsidR="001F624F">
              <w:rPr>
                <w:rFonts w:eastAsia="Times New Roman" w:cstheme="minorHAnsi"/>
                <w:color w:val="000000"/>
              </w:rPr>
              <w:t>edium</w:t>
            </w:r>
          </w:p>
        </w:tc>
        <w:tc>
          <w:tcPr>
            <w:tcW w:w="1666" w:type="dxa"/>
            <w:tcBorders>
              <w:top w:val="nil"/>
              <w:left w:val="nil"/>
              <w:bottom w:val="nil"/>
              <w:right w:val="nil"/>
            </w:tcBorders>
            <w:shd w:val="clear" w:color="000000" w:fill="FFFFFF"/>
            <w:noWrap/>
            <w:vAlign w:val="center"/>
            <w:hideMark/>
          </w:tcPr>
          <w:p w14:paraId="3F3105ED" w14:textId="77777777" w:rsidR="00643818" w:rsidRPr="00830BAD" w:rsidRDefault="00643818" w:rsidP="00C17085">
            <w:pPr>
              <w:spacing w:after="0" w:line="240" w:lineRule="auto"/>
              <w:jc w:val="center"/>
              <w:rPr>
                <w:rFonts w:eastAsia="Times New Roman" w:cstheme="minorHAnsi"/>
                <w:color w:val="000000"/>
              </w:rPr>
            </w:pPr>
            <w:r w:rsidRPr="00830BAD">
              <w:rPr>
                <w:rFonts w:eastAsia="Times New Roman" w:cstheme="minorHAnsi"/>
                <w:color w:val="000000"/>
              </w:rPr>
              <w:t>30 (46.9%)</w:t>
            </w:r>
          </w:p>
        </w:tc>
        <w:tc>
          <w:tcPr>
            <w:tcW w:w="1613" w:type="dxa"/>
            <w:tcBorders>
              <w:top w:val="nil"/>
              <w:left w:val="nil"/>
              <w:bottom w:val="nil"/>
              <w:right w:val="nil"/>
            </w:tcBorders>
            <w:shd w:val="clear" w:color="000000" w:fill="FFFFFF"/>
            <w:noWrap/>
            <w:vAlign w:val="center"/>
            <w:hideMark/>
          </w:tcPr>
          <w:p w14:paraId="56BD256B" w14:textId="77777777" w:rsidR="00643818" w:rsidRPr="00830BAD" w:rsidRDefault="00643818" w:rsidP="00C17085">
            <w:pPr>
              <w:spacing w:after="0" w:line="240" w:lineRule="auto"/>
              <w:jc w:val="center"/>
              <w:rPr>
                <w:rFonts w:eastAsia="Times New Roman" w:cstheme="minorHAnsi"/>
                <w:color w:val="000000"/>
              </w:rPr>
            </w:pPr>
            <w:r w:rsidRPr="00830BAD">
              <w:rPr>
                <w:rFonts w:eastAsia="Times New Roman" w:cstheme="minorHAnsi"/>
                <w:color w:val="000000"/>
              </w:rPr>
              <w:t>12 (18.8 %)</w:t>
            </w:r>
          </w:p>
        </w:tc>
        <w:tc>
          <w:tcPr>
            <w:tcW w:w="831" w:type="dxa"/>
            <w:vMerge/>
            <w:tcBorders>
              <w:top w:val="nil"/>
              <w:left w:val="nil"/>
              <w:bottom w:val="single" w:sz="4" w:space="0" w:color="000000"/>
              <w:right w:val="nil"/>
            </w:tcBorders>
            <w:vAlign w:val="center"/>
            <w:hideMark/>
          </w:tcPr>
          <w:p w14:paraId="31516F49" w14:textId="77777777" w:rsidR="00643818" w:rsidRPr="00830BAD" w:rsidRDefault="00643818" w:rsidP="00C17085">
            <w:pPr>
              <w:spacing w:after="0" w:line="240" w:lineRule="auto"/>
              <w:jc w:val="center"/>
              <w:rPr>
                <w:rFonts w:eastAsia="Times New Roman" w:cstheme="minorHAnsi"/>
                <w:color w:val="000000"/>
              </w:rPr>
            </w:pPr>
          </w:p>
        </w:tc>
        <w:tc>
          <w:tcPr>
            <w:tcW w:w="819" w:type="dxa"/>
            <w:tcBorders>
              <w:top w:val="nil"/>
              <w:left w:val="nil"/>
              <w:bottom w:val="nil"/>
              <w:right w:val="nil"/>
            </w:tcBorders>
            <w:shd w:val="clear" w:color="000000" w:fill="FFFFFF"/>
            <w:noWrap/>
            <w:vAlign w:val="center"/>
            <w:hideMark/>
          </w:tcPr>
          <w:p w14:paraId="1C270F33" w14:textId="77777777" w:rsidR="00643818" w:rsidRPr="00830BAD" w:rsidRDefault="00643818" w:rsidP="00C17085">
            <w:pPr>
              <w:spacing w:after="0" w:line="240" w:lineRule="auto"/>
              <w:jc w:val="center"/>
              <w:rPr>
                <w:rFonts w:eastAsia="Times New Roman" w:cstheme="minorHAnsi"/>
                <w:color w:val="000000"/>
              </w:rPr>
            </w:pPr>
            <w:r w:rsidRPr="00830BAD">
              <w:rPr>
                <w:rFonts w:eastAsia="Times New Roman" w:cstheme="minorHAnsi"/>
                <w:color w:val="000000"/>
              </w:rPr>
              <w:t>2.571</w:t>
            </w:r>
          </w:p>
        </w:tc>
        <w:tc>
          <w:tcPr>
            <w:tcW w:w="983" w:type="dxa"/>
            <w:tcBorders>
              <w:top w:val="nil"/>
              <w:left w:val="nil"/>
              <w:bottom w:val="nil"/>
              <w:right w:val="nil"/>
            </w:tcBorders>
            <w:shd w:val="clear" w:color="000000" w:fill="FFFFFF"/>
            <w:noWrap/>
            <w:vAlign w:val="center"/>
            <w:hideMark/>
          </w:tcPr>
          <w:p w14:paraId="217EDC8A" w14:textId="77777777" w:rsidR="00643818" w:rsidRPr="00830BAD" w:rsidRDefault="00643818" w:rsidP="00C17085">
            <w:pPr>
              <w:spacing w:after="0" w:line="240" w:lineRule="auto"/>
              <w:jc w:val="center"/>
              <w:rPr>
                <w:rFonts w:eastAsia="Times New Roman" w:cstheme="minorHAnsi"/>
                <w:color w:val="000000"/>
              </w:rPr>
            </w:pPr>
            <w:r w:rsidRPr="00830BAD">
              <w:rPr>
                <w:rFonts w:eastAsia="Times New Roman" w:cstheme="minorHAnsi"/>
                <w:color w:val="000000"/>
              </w:rPr>
              <w:t>1.468</w:t>
            </w:r>
          </w:p>
        </w:tc>
        <w:tc>
          <w:tcPr>
            <w:tcW w:w="998" w:type="dxa"/>
            <w:tcBorders>
              <w:top w:val="nil"/>
              <w:left w:val="nil"/>
              <w:bottom w:val="nil"/>
              <w:right w:val="nil"/>
            </w:tcBorders>
            <w:shd w:val="clear" w:color="000000" w:fill="FFFFFF"/>
            <w:noWrap/>
            <w:vAlign w:val="center"/>
            <w:hideMark/>
          </w:tcPr>
          <w:p w14:paraId="1ADF58C7" w14:textId="77777777" w:rsidR="00643818" w:rsidRPr="00830BAD" w:rsidRDefault="00643818" w:rsidP="00C17085">
            <w:pPr>
              <w:spacing w:after="0" w:line="240" w:lineRule="auto"/>
              <w:jc w:val="center"/>
              <w:rPr>
                <w:rFonts w:eastAsia="Times New Roman" w:cstheme="minorHAnsi"/>
                <w:color w:val="000000"/>
              </w:rPr>
            </w:pPr>
            <w:r w:rsidRPr="00830BAD">
              <w:rPr>
                <w:rFonts w:eastAsia="Times New Roman" w:cstheme="minorHAnsi"/>
                <w:color w:val="000000"/>
              </w:rPr>
              <w:t>4.503</w:t>
            </w:r>
          </w:p>
        </w:tc>
      </w:tr>
      <w:tr w:rsidR="00643818" w:rsidRPr="00830BAD" w14:paraId="1A0C758C" w14:textId="77777777" w:rsidTr="00FF3895">
        <w:trPr>
          <w:trHeight w:val="300"/>
          <w:jc w:val="center"/>
        </w:trPr>
        <w:tc>
          <w:tcPr>
            <w:tcW w:w="843" w:type="dxa"/>
            <w:vMerge/>
            <w:tcBorders>
              <w:top w:val="nil"/>
              <w:left w:val="nil"/>
              <w:bottom w:val="single" w:sz="4" w:space="0" w:color="000000"/>
              <w:right w:val="nil"/>
            </w:tcBorders>
            <w:vAlign w:val="center"/>
            <w:hideMark/>
          </w:tcPr>
          <w:p w14:paraId="6DD44A11" w14:textId="77777777" w:rsidR="00643818" w:rsidRPr="00830BAD" w:rsidRDefault="00643818" w:rsidP="00C17085">
            <w:pPr>
              <w:spacing w:after="0" w:line="240" w:lineRule="auto"/>
              <w:jc w:val="center"/>
              <w:rPr>
                <w:rFonts w:eastAsia="Times New Roman" w:cstheme="minorHAnsi"/>
                <w:color w:val="000000"/>
              </w:rPr>
            </w:pPr>
          </w:p>
        </w:tc>
        <w:tc>
          <w:tcPr>
            <w:tcW w:w="1000" w:type="dxa"/>
            <w:tcBorders>
              <w:top w:val="nil"/>
              <w:left w:val="nil"/>
              <w:bottom w:val="nil"/>
              <w:right w:val="nil"/>
            </w:tcBorders>
            <w:shd w:val="clear" w:color="000000" w:fill="FFFFFF"/>
            <w:vAlign w:val="center"/>
            <w:hideMark/>
          </w:tcPr>
          <w:p w14:paraId="042A4DDD" w14:textId="78F26A30" w:rsidR="00643818" w:rsidRPr="00830BAD" w:rsidRDefault="001F624F" w:rsidP="00C17085">
            <w:pPr>
              <w:spacing w:after="0" w:line="240" w:lineRule="auto"/>
              <w:jc w:val="center"/>
              <w:rPr>
                <w:rFonts w:eastAsia="Times New Roman" w:cstheme="minorHAnsi"/>
                <w:color w:val="000000"/>
              </w:rPr>
            </w:pPr>
            <w:r>
              <w:rPr>
                <w:rFonts w:eastAsia="Times New Roman" w:cstheme="minorHAnsi"/>
                <w:color w:val="000000"/>
              </w:rPr>
              <w:t>High</w:t>
            </w:r>
          </w:p>
        </w:tc>
        <w:tc>
          <w:tcPr>
            <w:tcW w:w="1666" w:type="dxa"/>
            <w:tcBorders>
              <w:top w:val="nil"/>
              <w:left w:val="nil"/>
              <w:bottom w:val="nil"/>
              <w:right w:val="nil"/>
            </w:tcBorders>
            <w:shd w:val="clear" w:color="000000" w:fill="FFFFFF"/>
            <w:noWrap/>
            <w:vAlign w:val="center"/>
            <w:hideMark/>
          </w:tcPr>
          <w:p w14:paraId="65F9C91C" w14:textId="77777777" w:rsidR="00643818" w:rsidRPr="00830BAD" w:rsidRDefault="00643818" w:rsidP="00C17085">
            <w:pPr>
              <w:spacing w:after="0" w:line="240" w:lineRule="auto"/>
              <w:jc w:val="center"/>
              <w:rPr>
                <w:rFonts w:eastAsia="Times New Roman" w:cstheme="minorHAnsi"/>
                <w:color w:val="000000"/>
              </w:rPr>
            </w:pPr>
            <w:r w:rsidRPr="00830BAD">
              <w:rPr>
                <w:rFonts w:eastAsia="Times New Roman" w:cstheme="minorHAnsi"/>
                <w:color w:val="000000"/>
              </w:rPr>
              <w:t>8 (12.5 %)</w:t>
            </w:r>
          </w:p>
        </w:tc>
        <w:tc>
          <w:tcPr>
            <w:tcW w:w="1613" w:type="dxa"/>
            <w:tcBorders>
              <w:top w:val="nil"/>
              <w:left w:val="nil"/>
              <w:bottom w:val="nil"/>
              <w:right w:val="nil"/>
            </w:tcBorders>
            <w:shd w:val="clear" w:color="000000" w:fill="FFFFFF"/>
            <w:noWrap/>
            <w:vAlign w:val="center"/>
            <w:hideMark/>
          </w:tcPr>
          <w:p w14:paraId="3AA52F5C" w14:textId="77777777" w:rsidR="00643818" w:rsidRPr="00830BAD" w:rsidRDefault="00643818" w:rsidP="00C17085">
            <w:pPr>
              <w:spacing w:after="0" w:line="240" w:lineRule="auto"/>
              <w:jc w:val="center"/>
              <w:rPr>
                <w:rFonts w:eastAsia="Times New Roman" w:cstheme="minorHAnsi"/>
                <w:color w:val="000000"/>
              </w:rPr>
            </w:pPr>
            <w:r w:rsidRPr="00830BAD">
              <w:rPr>
                <w:rFonts w:eastAsia="Times New Roman" w:cstheme="minorHAnsi"/>
                <w:color w:val="000000"/>
              </w:rPr>
              <w:t>5 (7.8 %)</w:t>
            </w:r>
          </w:p>
        </w:tc>
        <w:tc>
          <w:tcPr>
            <w:tcW w:w="831" w:type="dxa"/>
            <w:vMerge/>
            <w:tcBorders>
              <w:top w:val="nil"/>
              <w:left w:val="nil"/>
              <w:bottom w:val="single" w:sz="4" w:space="0" w:color="000000"/>
              <w:right w:val="nil"/>
            </w:tcBorders>
            <w:vAlign w:val="center"/>
            <w:hideMark/>
          </w:tcPr>
          <w:p w14:paraId="6E169D62" w14:textId="77777777" w:rsidR="00643818" w:rsidRPr="00830BAD" w:rsidRDefault="00643818" w:rsidP="00C17085">
            <w:pPr>
              <w:spacing w:after="0" w:line="240" w:lineRule="auto"/>
              <w:jc w:val="center"/>
              <w:rPr>
                <w:rFonts w:eastAsia="Times New Roman" w:cstheme="minorHAnsi"/>
                <w:color w:val="000000"/>
              </w:rPr>
            </w:pPr>
          </w:p>
        </w:tc>
        <w:tc>
          <w:tcPr>
            <w:tcW w:w="819" w:type="dxa"/>
            <w:tcBorders>
              <w:top w:val="nil"/>
              <w:left w:val="nil"/>
              <w:bottom w:val="nil"/>
              <w:right w:val="nil"/>
            </w:tcBorders>
            <w:shd w:val="clear" w:color="000000" w:fill="FFFFFF"/>
            <w:noWrap/>
            <w:vAlign w:val="center"/>
            <w:hideMark/>
          </w:tcPr>
          <w:p w14:paraId="74A0A4F2" w14:textId="77777777" w:rsidR="00643818" w:rsidRPr="00830BAD" w:rsidRDefault="00643818" w:rsidP="00C17085">
            <w:pPr>
              <w:spacing w:after="0" w:line="240" w:lineRule="auto"/>
              <w:jc w:val="center"/>
              <w:rPr>
                <w:rFonts w:eastAsia="Times New Roman" w:cstheme="minorHAnsi"/>
                <w:color w:val="000000"/>
              </w:rPr>
            </w:pPr>
            <w:r w:rsidRPr="00830BAD">
              <w:rPr>
                <w:rFonts w:eastAsia="Times New Roman" w:cstheme="minorHAnsi"/>
                <w:color w:val="000000"/>
              </w:rPr>
              <w:t>2.215</w:t>
            </w:r>
          </w:p>
        </w:tc>
        <w:tc>
          <w:tcPr>
            <w:tcW w:w="983" w:type="dxa"/>
            <w:tcBorders>
              <w:top w:val="nil"/>
              <w:left w:val="nil"/>
              <w:bottom w:val="nil"/>
              <w:right w:val="nil"/>
            </w:tcBorders>
            <w:shd w:val="clear" w:color="000000" w:fill="FFFFFF"/>
            <w:noWrap/>
            <w:vAlign w:val="center"/>
            <w:hideMark/>
          </w:tcPr>
          <w:p w14:paraId="51E4CAEE" w14:textId="77777777" w:rsidR="00643818" w:rsidRPr="00830BAD" w:rsidRDefault="00643818" w:rsidP="00C17085">
            <w:pPr>
              <w:spacing w:after="0" w:line="240" w:lineRule="auto"/>
              <w:jc w:val="center"/>
              <w:rPr>
                <w:rFonts w:eastAsia="Times New Roman" w:cstheme="minorHAnsi"/>
                <w:color w:val="000000"/>
              </w:rPr>
            </w:pPr>
            <w:r w:rsidRPr="00830BAD">
              <w:rPr>
                <w:rFonts w:eastAsia="Times New Roman" w:cstheme="minorHAnsi"/>
                <w:color w:val="000000"/>
              </w:rPr>
              <w:t>1.123</w:t>
            </w:r>
          </w:p>
        </w:tc>
        <w:tc>
          <w:tcPr>
            <w:tcW w:w="998" w:type="dxa"/>
            <w:tcBorders>
              <w:top w:val="nil"/>
              <w:left w:val="nil"/>
              <w:bottom w:val="nil"/>
              <w:right w:val="nil"/>
            </w:tcBorders>
            <w:shd w:val="clear" w:color="000000" w:fill="FFFFFF"/>
            <w:noWrap/>
            <w:vAlign w:val="center"/>
            <w:hideMark/>
          </w:tcPr>
          <w:p w14:paraId="5149DF68" w14:textId="77777777" w:rsidR="00643818" w:rsidRPr="00830BAD" w:rsidRDefault="00643818" w:rsidP="00C17085">
            <w:pPr>
              <w:spacing w:after="0" w:line="240" w:lineRule="auto"/>
              <w:jc w:val="center"/>
              <w:rPr>
                <w:rFonts w:eastAsia="Times New Roman" w:cstheme="minorHAnsi"/>
                <w:color w:val="000000"/>
              </w:rPr>
            </w:pPr>
            <w:r w:rsidRPr="00830BAD">
              <w:rPr>
                <w:rFonts w:eastAsia="Times New Roman" w:cstheme="minorHAnsi"/>
                <w:color w:val="000000"/>
              </w:rPr>
              <w:t>4.372</w:t>
            </w:r>
          </w:p>
        </w:tc>
      </w:tr>
      <w:tr w:rsidR="00643818" w:rsidRPr="00830BAD" w14:paraId="0AA643B0" w14:textId="77777777" w:rsidTr="00FF3895">
        <w:trPr>
          <w:trHeight w:val="300"/>
          <w:jc w:val="center"/>
        </w:trPr>
        <w:tc>
          <w:tcPr>
            <w:tcW w:w="843" w:type="dxa"/>
            <w:vMerge/>
            <w:tcBorders>
              <w:top w:val="nil"/>
              <w:left w:val="nil"/>
              <w:bottom w:val="single" w:sz="4" w:space="0" w:color="000000"/>
              <w:right w:val="nil"/>
            </w:tcBorders>
            <w:vAlign w:val="center"/>
            <w:hideMark/>
          </w:tcPr>
          <w:p w14:paraId="6B062A63" w14:textId="77777777" w:rsidR="00643818" w:rsidRPr="00830BAD" w:rsidRDefault="00643818" w:rsidP="00C17085">
            <w:pPr>
              <w:spacing w:after="0" w:line="240" w:lineRule="auto"/>
              <w:jc w:val="center"/>
              <w:rPr>
                <w:rFonts w:eastAsia="Times New Roman" w:cstheme="minorHAnsi"/>
                <w:color w:val="000000"/>
              </w:rPr>
            </w:pPr>
          </w:p>
        </w:tc>
        <w:tc>
          <w:tcPr>
            <w:tcW w:w="1000" w:type="dxa"/>
            <w:tcBorders>
              <w:top w:val="nil"/>
              <w:left w:val="nil"/>
              <w:bottom w:val="nil"/>
              <w:right w:val="nil"/>
            </w:tcBorders>
            <w:shd w:val="clear" w:color="000000" w:fill="FFFFFF"/>
            <w:vAlign w:val="center"/>
            <w:hideMark/>
          </w:tcPr>
          <w:p w14:paraId="66951073" w14:textId="0DC064B2" w:rsidR="00643818" w:rsidRPr="00830BAD" w:rsidRDefault="0018491D" w:rsidP="00C17085">
            <w:pPr>
              <w:spacing w:after="0" w:line="240" w:lineRule="auto"/>
              <w:jc w:val="center"/>
              <w:rPr>
                <w:rFonts w:eastAsia="Times New Roman" w:cstheme="minorHAnsi"/>
                <w:color w:val="000000"/>
              </w:rPr>
            </w:pPr>
            <w:r>
              <w:rPr>
                <w:rFonts w:eastAsia="Times New Roman" w:cstheme="minorHAnsi"/>
                <w:color w:val="000000"/>
              </w:rPr>
              <w:t>Awfully</w:t>
            </w:r>
          </w:p>
        </w:tc>
        <w:tc>
          <w:tcPr>
            <w:tcW w:w="1666" w:type="dxa"/>
            <w:tcBorders>
              <w:top w:val="nil"/>
              <w:left w:val="nil"/>
              <w:bottom w:val="nil"/>
              <w:right w:val="nil"/>
            </w:tcBorders>
            <w:shd w:val="clear" w:color="000000" w:fill="FFFFFF"/>
            <w:noWrap/>
            <w:vAlign w:val="center"/>
            <w:hideMark/>
          </w:tcPr>
          <w:p w14:paraId="7FA4E89C" w14:textId="77777777" w:rsidR="00643818" w:rsidRPr="00830BAD" w:rsidRDefault="00643818" w:rsidP="00C17085">
            <w:pPr>
              <w:spacing w:after="0" w:line="240" w:lineRule="auto"/>
              <w:jc w:val="center"/>
              <w:rPr>
                <w:rFonts w:eastAsia="Times New Roman" w:cstheme="minorHAnsi"/>
                <w:color w:val="000000"/>
              </w:rPr>
            </w:pPr>
            <w:r w:rsidRPr="00830BAD">
              <w:rPr>
                <w:rFonts w:eastAsia="Times New Roman" w:cstheme="minorHAnsi"/>
                <w:color w:val="000000"/>
              </w:rPr>
              <w:t>1 (1.6 %)</w:t>
            </w:r>
          </w:p>
        </w:tc>
        <w:tc>
          <w:tcPr>
            <w:tcW w:w="1613" w:type="dxa"/>
            <w:tcBorders>
              <w:top w:val="nil"/>
              <w:left w:val="nil"/>
              <w:bottom w:val="nil"/>
              <w:right w:val="nil"/>
            </w:tcBorders>
            <w:shd w:val="clear" w:color="000000" w:fill="FFFFFF"/>
            <w:noWrap/>
            <w:vAlign w:val="center"/>
            <w:hideMark/>
          </w:tcPr>
          <w:p w14:paraId="747CAAE5" w14:textId="77777777" w:rsidR="00643818" w:rsidRPr="00830BAD" w:rsidRDefault="00643818" w:rsidP="00C17085">
            <w:pPr>
              <w:spacing w:after="0" w:line="240" w:lineRule="auto"/>
              <w:jc w:val="center"/>
              <w:rPr>
                <w:rFonts w:eastAsia="Times New Roman" w:cstheme="minorHAnsi"/>
                <w:color w:val="000000"/>
              </w:rPr>
            </w:pPr>
            <w:r w:rsidRPr="00830BAD">
              <w:rPr>
                <w:rFonts w:eastAsia="Times New Roman" w:cstheme="minorHAnsi"/>
                <w:color w:val="000000"/>
              </w:rPr>
              <w:t>0 (0.0 %)</w:t>
            </w:r>
          </w:p>
        </w:tc>
        <w:tc>
          <w:tcPr>
            <w:tcW w:w="831" w:type="dxa"/>
            <w:vMerge/>
            <w:tcBorders>
              <w:top w:val="nil"/>
              <w:left w:val="nil"/>
              <w:bottom w:val="single" w:sz="4" w:space="0" w:color="000000"/>
              <w:right w:val="nil"/>
            </w:tcBorders>
            <w:vAlign w:val="center"/>
            <w:hideMark/>
          </w:tcPr>
          <w:p w14:paraId="6DB507B4" w14:textId="77777777" w:rsidR="00643818" w:rsidRPr="00830BAD" w:rsidRDefault="00643818" w:rsidP="00C17085">
            <w:pPr>
              <w:spacing w:after="0" w:line="240" w:lineRule="auto"/>
              <w:jc w:val="center"/>
              <w:rPr>
                <w:rFonts w:eastAsia="Times New Roman" w:cstheme="minorHAnsi"/>
                <w:color w:val="000000"/>
              </w:rPr>
            </w:pPr>
          </w:p>
        </w:tc>
        <w:tc>
          <w:tcPr>
            <w:tcW w:w="819" w:type="dxa"/>
            <w:tcBorders>
              <w:top w:val="nil"/>
              <w:left w:val="nil"/>
              <w:bottom w:val="nil"/>
              <w:right w:val="nil"/>
            </w:tcBorders>
            <w:shd w:val="clear" w:color="000000" w:fill="FFFFFF"/>
            <w:noWrap/>
            <w:vAlign w:val="center"/>
            <w:hideMark/>
          </w:tcPr>
          <w:p w14:paraId="54F56F9D" w14:textId="77777777" w:rsidR="00643818" w:rsidRPr="00830BAD" w:rsidRDefault="00643818" w:rsidP="00C17085">
            <w:pPr>
              <w:spacing w:after="0" w:line="240" w:lineRule="auto"/>
              <w:jc w:val="center"/>
              <w:rPr>
                <w:rFonts w:eastAsia="Times New Roman" w:cstheme="minorHAnsi"/>
                <w:color w:val="000000"/>
              </w:rPr>
            </w:pPr>
            <w:r w:rsidRPr="00830BAD">
              <w:rPr>
                <w:rFonts w:eastAsia="Times New Roman" w:cstheme="minorHAnsi"/>
                <w:color w:val="000000"/>
              </w:rPr>
              <w:t>3.6</w:t>
            </w:r>
          </w:p>
        </w:tc>
        <w:tc>
          <w:tcPr>
            <w:tcW w:w="983" w:type="dxa"/>
            <w:tcBorders>
              <w:top w:val="nil"/>
              <w:left w:val="nil"/>
              <w:bottom w:val="nil"/>
              <w:right w:val="nil"/>
            </w:tcBorders>
            <w:shd w:val="clear" w:color="000000" w:fill="FFFFFF"/>
            <w:noWrap/>
            <w:vAlign w:val="center"/>
            <w:hideMark/>
          </w:tcPr>
          <w:p w14:paraId="66C7B12D" w14:textId="77777777" w:rsidR="00643818" w:rsidRPr="00830BAD" w:rsidRDefault="00643818" w:rsidP="00C17085">
            <w:pPr>
              <w:spacing w:after="0" w:line="240" w:lineRule="auto"/>
              <w:jc w:val="center"/>
              <w:rPr>
                <w:rFonts w:eastAsia="Times New Roman" w:cstheme="minorHAnsi"/>
                <w:color w:val="000000"/>
              </w:rPr>
            </w:pPr>
            <w:r w:rsidRPr="00830BAD">
              <w:rPr>
                <w:rFonts w:eastAsia="Times New Roman" w:cstheme="minorHAnsi"/>
                <w:color w:val="000000"/>
              </w:rPr>
              <w:t>2.126</w:t>
            </w:r>
          </w:p>
        </w:tc>
        <w:tc>
          <w:tcPr>
            <w:tcW w:w="998" w:type="dxa"/>
            <w:tcBorders>
              <w:top w:val="nil"/>
              <w:left w:val="nil"/>
              <w:bottom w:val="nil"/>
              <w:right w:val="nil"/>
            </w:tcBorders>
            <w:shd w:val="clear" w:color="000000" w:fill="FFFFFF"/>
            <w:noWrap/>
            <w:vAlign w:val="center"/>
            <w:hideMark/>
          </w:tcPr>
          <w:p w14:paraId="15E4EEB5" w14:textId="77777777" w:rsidR="00643818" w:rsidRPr="00830BAD" w:rsidRDefault="00643818" w:rsidP="00C17085">
            <w:pPr>
              <w:spacing w:after="0" w:line="240" w:lineRule="auto"/>
              <w:jc w:val="center"/>
              <w:rPr>
                <w:rFonts w:eastAsia="Times New Roman" w:cstheme="minorHAnsi"/>
                <w:color w:val="000000"/>
              </w:rPr>
            </w:pPr>
            <w:r w:rsidRPr="00830BAD">
              <w:rPr>
                <w:rFonts w:eastAsia="Times New Roman" w:cstheme="minorHAnsi"/>
                <w:color w:val="000000"/>
              </w:rPr>
              <w:t>6.096</w:t>
            </w:r>
          </w:p>
        </w:tc>
      </w:tr>
      <w:tr w:rsidR="00643818" w:rsidRPr="00830BAD" w14:paraId="740B034D" w14:textId="77777777" w:rsidTr="00FF3895">
        <w:trPr>
          <w:trHeight w:val="300"/>
          <w:jc w:val="center"/>
        </w:trPr>
        <w:tc>
          <w:tcPr>
            <w:tcW w:w="843" w:type="dxa"/>
            <w:vMerge/>
            <w:tcBorders>
              <w:top w:val="nil"/>
              <w:left w:val="nil"/>
              <w:bottom w:val="single" w:sz="4" w:space="0" w:color="000000"/>
              <w:right w:val="nil"/>
            </w:tcBorders>
            <w:vAlign w:val="center"/>
            <w:hideMark/>
          </w:tcPr>
          <w:p w14:paraId="277F77AD" w14:textId="77777777" w:rsidR="00643818" w:rsidRPr="00830BAD" w:rsidRDefault="00643818" w:rsidP="00830BAD">
            <w:pPr>
              <w:spacing w:after="0" w:line="240" w:lineRule="auto"/>
              <w:jc w:val="both"/>
              <w:rPr>
                <w:rFonts w:eastAsia="Times New Roman" w:cstheme="minorHAnsi"/>
                <w:color w:val="000000"/>
              </w:rPr>
            </w:pPr>
          </w:p>
        </w:tc>
        <w:tc>
          <w:tcPr>
            <w:tcW w:w="1000" w:type="dxa"/>
            <w:tcBorders>
              <w:top w:val="nil"/>
              <w:left w:val="nil"/>
              <w:bottom w:val="single" w:sz="4" w:space="0" w:color="auto"/>
              <w:right w:val="nil"/>
            </w:tcBorders>
            <w:shd w:val="clear" w:color="000000" w:fill="FFFFFF"/>
            <w:vAlign w:val="center"/>
            <w:hideMark/>
          </w:tcPr>
          <w:p w14:paraId="601EFF4A" w14:textId="77777777" w:rsidR="00643818" w:rsidRPr="00830BAD" w:rsidRDefault="00643818" w:rsidP="00C17085">
            <w:pPr>
              <w:spacing w:after="0" w:line="240" w:lineRule="auto"/>
              <w:jc w:val="center"/>
              <w:rPr>
                <w:rFonts w:eastAsia="Times New Roman" w:cstheme="minorHAnsi"/>
                <w:color w:val="000000"/>
              </w:rPr>
            </w:pPr>
            <w:r w:rsidRPr="00830BAD">
              <w:rPr>
                <w:rFonts w:eastAsia="Times New Roman" w:cstheme="minorHAnsi"/>
                <w:color w:val="000000"/>
              </w:rPr>
              <w:t>Normal</w:t>
            </w:r>
          </w:p>
        </w:tc>
        <w:tc>
          <w:tcPr>
            <w:tcW w:w="1666" w:type="dxa"/>
            <w:tcBorders>
              <w:top w:val="nil"/>
              <w:left w:val="nil"/>
              <w:bottom w:val="single" w:sz="4" w:space="0" w:color="auto"/>
              <w:right w:val="nil"/>
            </w:tcBorders>
            <w:shd w:val="clear" w:color="000000" w:fill="FFFFFF"/>
            <w:noWrap/>
            <w:vAlign w:val="center"/>
            <w:hideMark/>
          </w:tcPr>
          <w:p w14:paraId="203492C0" w14:textId="77777777" w:rsidR="00643818" w:rsidRPr="00830BAD" w:rsidRDefault="00643818" w:rsidP="00C17085">
            <w:pPr>
              <w:spacing w:after="0" w:line="240" w:lineRule="auto"/>
              <w:jc w:val="center"/>
              <w:rPr>
                <w:rFonts w:eastAsia="Times New Roman" w:cstheme="minorHAnsi"/>
                <w:color w:val="000000"/>
              </w:rPr>
            </w:pPr>
            <w:r w:rsidRPr="00830BAD">
              <w:rPr>
                <w:rFonts w:eastAsia="Times New Roman" w:cstheme="minorHAnsi"/>
                <w:color w:val="000000"/>
              </w:rPr>
              <w:t>10</w:t>
            </w:r>
          </w:p>
        </w:tc>
        <w:tc>
          <w:tcPr>
            <w:tcW w:w="1613" w:type="dxa"/>
            <w:tcBorders>
              <w:top w:val="nil"/>
              <w:left w:val="nil"/>
              <w:bottom w:val="single" w:sz="4" w:space="0" w:color="auto"/>
              <w:right w:val="nil"/>
            </w:tcBorders>
            <w:shd w:val="clear" w:color="000000" w:fill="FFFFFF"/>
            <w:noWrap/>
            <w:vAlign w:val="center"/>
            <w:hideMark/>
          </w:tcPr>
          <w:p w14:paraId="1BEE9390" w14:textId="77777777" w:rsidR="00643818" w:rsidRPr="00830BAD" w:rsidRDefault="00643818" w:rsidP="00C17085">
            <w:pPr>
              <w:spacing w:after="0" w:line="240" w:lineRule="auto"/>
              <w:jc w:val="center"/>
              <w:rPr>
                <w:rFonts w:eastAsia="Times New Roman" w:cstheme="minorHAnsi"/>
                <w:color w:val="000000"/>
              </w:rPr>
            </w:pPr>
            <w:r w:rsidRPr="00830BAD">
              <w:rPr>
                <w:rFonts w:eastAsia="Times New Roman" w:cstheme="minorHAnsi"/>
                <w:color w:val="000000"/>
              </w:rPr>
              <w:t>26</w:t>
            </w:r>
          </w:p>
        </w:tc>
        <w:tc>
          <w:tcPr>
            <w:tcW w:w="831" w:type="dxa"/>
            <w:vMerge/>
            <w:tcBorders>
              <w:top w:val="nil"/>
              <w:left w:val="nil"/>
              <w:bottom w:val="single" w:sz="4" w:space="0" w:color="000000"/>
              <w:right w:val="nil"/>
            </w:tcBorders>
            <w:vAlign w:val="center"/>
            <w:hideMark/>
          </w:tcPr>
          <w:p w14:paraId="2A9FBD8D" w14:textId="77777777" w:rsidR="00643818" w:rsidRPr="00830BAD" w:rsidRDefault="00643818" w:rsidP="00C17085">
            <w:pPr>
              <w:spacing w:after="0" w:line="240" w:lineRule="auto"/>
              <w:jc w:val="center"/>
              <w:rPr>
                <w:rFonts w:eastAsia="Times New Roman" w:cstheme="minorHAnsi"/>
                <w:color w:val="000000"/>
              </w:rPr>
            </w:pPr>
          </w:p>
        </w:tc>
        <w:tc>
          <w:tcPr>
            <w:tcW w:w="819" w:type="dxa"/>
            <w:tcBorders>
              <w:top w:val="nil"/>
              <w:left w:val="nil"/>
              <w:bottom w:val="single" w:sz="4" w:space="0" w:color="auto"/>
              <w:right w:val="nil"/>
            </w:tcBorders>
            <w:shd w:val="clear" w:color="000000" w:fill="FFFFFF"/>
            <w:noWrap/>
            <w:vAlign w:val="center"/>
            <w:hideMark/>
          </w:tcPr>
          <w:p w14:paraId="4D379394" w14:textId="77777777" w:rsidR="00643818" w:rsidRPr="00830BAD" w:rsidRDefault="00643818" w:rsidP="00C17085">
            <w:pPr>
              <w:spacing w:after="0" w:line="240" w:lineRule="auto"/>
              <w:jc w:val="center"/>
              <w:rPr>
                <w:rFonts w:eastAsia="Times New Roman" w:cstheme="minorHAnsi"/>
                <w:color w:val="000000"/>
              </w:rPr>
            </w:pPr>
            <w:r w:rsidRPr="00830BAD">
              <w:rPr>
                <w:rFonts w:eastAsia="Times New Roman" w:cstheme="minorHAnsi"/>
                <w:color w:val="000000"/>
              </w:rPr>
              <w:t>1</w:t>
            </w:r>
          </w:p>
        </w:tc>
        <w:tc>
          <w:tcPr>
            <w:tcW w:w="983" w:type="dxa"/>
            <w:tcBorders>
              <w:top w:val="nil"/>
              <w:left w:val="nil"/>
              <w:bottom w:val="single" w:sz="4" w:space="0" w:color="auto"/>
              <w:right w:val="nil"/>
            </w:tcBorders>
            <w:shd w:val="clear" w:color="000000" w:fill="FFFFFF"/>
            <w:noWrap/>
            <w:vAlign w:val="center"/>
            <w:hideMark/>
          </w:tcPr>
          <w:p w14:paraId="682567EF" w14:textId="77777777" w:rsidR="00643818" w:rsidRPr="00830BAD" w:rsidRDefault="00643818" w:rsidP="00C17085">
            <w:pPr>
              <w:spacing w:after="0" w:line="240" w:lineRule="auto"/>
              <w:jc w:val="center"/>
              <w:rPr>
                <w:rFonts w:eastAsia="Times New Roman" w:cstheme="minorHAnsi"/>
                <w:color w:val="000000"/>
              </w:rPr>
            </w:pPr>
          </w:p>
        </w:tc>
        <w:tc>
          <w:tcPr>
            <w:tcW w:w="998" w:type="dxa"/>
            <w:tcBorders>
              <w:top w:val="nil"/>
              <w:left w:val="nil"/>
              <w:bottom w:val="single" w:sz="4" w:space="0" w:color="auto"/>
              <w:right w:val="nil"/>
            </w:tcBorders>
            <w:shd w:val="clear" w:color="000000" w:fill="FFFFFF"/>
            <w:noWrap/>
            <w:vAlign w:val="center"/>
            <w:hideMark/>
          </w:tcPr>
          <w:p w14:paraId="7E112D7D" w14:textId="77777777" w:rsidR="00643818" w:rsidRPr="00830BAD" w:rsidRDefault="00643818" w:rsidP="00C17085">
            <w:pPr>
              <w:spacing w:after="0" w:line="240" w:lineRule="auto"/>
              <w:jc w:val="center"/>
              <w:rPr>
                <w:rFonts w:eastAsia="Times New Roman" w:cstheme="minorHAnsi"/>
                <w:color w:val="000000"/>
              </w:rPr>
            </w:pPr>
          </w:p>
        </w:tc>
      </w:tr>
    </w:tbl>
    <w:p w14:paraId="658A9A94" w14:textId="77777777" w:rsidR="00493120" w:rsidRDefault="00102E2A" w:rsidP="00830BAD">
      <w:pPr>
        <w:spacing w:line="240" w:lineRule="auto"/>
        <w:jc w:val="both"/>
        <w:rPr>
          <w:rFonts w:cstheme="minorHAnsi"/>
          <w:i/>
          <w:color w:val="000000" w:themeColor="text1"/>
        </w:rPr>
      </w:pPr>
      <w:r w:rsidRPr="00830BAD">
        <w:rPr>
          <w:rFonts w:cstheme="minorHAnsi"/>
        </w:rPr>
        <w:t>*</w:t>
      </w:r>
      <w:r w:rsidR="004C5AB6" w:rsidRPr="00830BAD">
        <w:rPr>
          <w:rFonts w:cstheme="minorHAnsi"/>
          <w:i/>
          <w:color w:val="000000" w:themeColor="text1"/>
        </w:rPr>
        <w:t>Chi-square</w:t>
      </w:r>
    </w:p>
    <w:p w14:paraId="1159187A" w14:textId="423679E4" w:rsidR="00483081" w:rsidRPr="00830BAD" w:rsidRDefault="00483081" w:rsidP="0018491D">
      <w:pPr>
        <w:spacing w:after="240" w:line="240" w:lineRule="auto"/>
        <w:ind w:firstLine="284"/>
        <w:jc w:val="both"/>
        <w:rPr>
          <w:rFonts w:cstheme="minorHAnsi"/>
          <w:i/>
          <w:color w:val="000000" w:themeColor="text1"/>
        </w:rPr>
      </w:pPr>
      <w:r w:rsidRPr="004E02D7">
        <w:rPr>
          <w:rFonts w:cstheme="minorHAnsi"/>
          <w:lang w:val="en"/>
        </w:rPr>
        <w:t>Respondents who experienced dysmenorrhea had the most moderate stress</w:t>
      </w:r>
      <w:r w:rsidR="006A2607">
        <w:rPr>
          <w:rFonts w:cstheme="minorHAnsi"/>
          <w:lang w:val="en"/>
        </w:rPr>
        <w:t>,</w:t>
      </w:r>
      <w:r w:rsidRPr="004E02D7">
        <w:rPr>
          <w:rFonts w:cstheme="minorHAnsi"/>
          <w:lang w:val="en"/>
        </w:rPr>
        <w:t xml:space="preserve"> namely</w:t>
      </w:r>
      <w:r w:rsidR="00285506">
        <w:rPr>
          <w:rFonts w:cstheme="minorHAnsi"/>
          <w:lang w:val="en"/>
        </w:rPr>
        <w:t>,</w:t>
      </w:r>
      <w:r w:rsidRPr="004E02D7">
        <w:rPr>
          <w:rFonts w:cstheme="minorHAnsi"/>
          <w:lang w:val="en"/>
        </w:rPr>
        <w:t xml:space="preserve"> 30 respondents (46.9%)</w:t>
      </w:r>
      <w:r w:rsidR="003821EF">
        <w:rPr>
          <w:rFonts w:cstheme="minorHAnsi"/>
          <w:lang w:val="en"/>
        </w:rPr>
        <w:t>,</w:t>
      </w:r>
      <w:r w:rsidRPr="004E02D7">
        <w:rPr>
          <w:rFonts w:cstheme="minorHAnsi"/>
          <w:lang w:val="en"/>
        </w:rPr>
        <w:t xml:space="preserve"> and respondents who did not experience dysmenorrhea had the most normal stress, namely 26 respondents (0.0%). Chi</w:t>
      </w:r>
      <w:r w:rsidR="00285506">
        <w:rPr>
          <w:rFonts w:cstheme="minorHAnsi"/>
          <w:lang w:val="en"/>
        </w:rPr>
        <w:t>-</w:t>
      </w:r>
      <w:r w:rsidRPr="004E02D7">
        <w:rPr>
          <w:rFonts w:cstheme="minorHAnsi"/>
          <w:lang w:val="en"/>
        </w:rPr>
        <w:t xml:space="preserve">square test results obtained p = 0.002 (p &lt;0.05). This shows there is a relationship </w:t>
      </w:r>
      <w:r w:rsidR="006A2607">
        <w:rPr>
          <w:rFonts w:cstheme="minorHAnsi"/>
          <w:lang w:val="en"/>
        </w:rPr>
        <w:t>between</w:t>
      </w:r>
      <w:r w:rsidRPr="004E02D7">
        <w:rPr>
          <w:rFonts w:cstheme="minorHAnsi"/>
          <w:lang w:val="en"/>
        </w:rPr>
        <w:t xml:space="preserve"> stress with the inc</w:t>
      </w:r>
      <w:r w:rsidR="00935C4E">
        <w:rPr>
          <w:rFonts w:cstheme="minorHAnsi"/>
          <w:lang w:val="en"/>
        </w:rPr>
        <w:t xml:space="preserve">idence of dysmenorrhea (table </w:t>
      </w:r>
      <w:r w:rsidRPr="004E02D7">
        <w:rPr>
          <w:rFonts w:cstheme="minorHAnsi"/>
          <w:lang w:val="en"/>
        </w:rPr>
        <w:t>4).</w:t>
      </w:r>
    </w:p>
    <w:tbl>
      <w:tblPr>
        <w:tblW w:w="8082" w:type="dxa"/>
        <w:tblCellMar>
          <w:left w:w="0" w:type="dxa"/>
          <w:right w:w="0" w:type="dxa"/>
        </w:tblCellMar>
        <w:tblLook w:val="04A0" w:firstRow="1" w:lastRow="0" w:firstColumn="1" w:lastColumn="0" w:noHBand="0" w:noVBand="1"/>
      </w:tblPr>
      <w:tblGrid>
        <w:gridCol w:w="1259"/>
        <w:gridCol w:w="726"/>
        <w:gridCol w:w="850"/>
        <w:gridCol w:w="709"/>
        <w:gridCol w:w="567"/>
        <w:gridCol w:w="960"/>
        <w:gridCol w:w="960"/>
        <w:gridCol w:w="1199"/>
        <w:gridCol w:w="841"/>
        <w:gridCol w:w="11"/>
      </w:tblGrid>
      <w:tr w:rsidR="00697A05" w:rsidRPr="00830BAD" w14:paraId="7D7D472A" w14:textId="77777777" w:rsidTr="00C4384E">
        <w:trPr>
          <w:gridAfter w:val="1"/>
          <w:wAfter w:w="11" w:type="dxa"/>
          <w:trHeight w:val="384"/>
        </w:trPr>
        <w:tc>
          <w:tcPr>
            <w:tcW w:w="8071" w:type="dxa"/>
            <w:gridSpan w:val="9"/>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5FEF6186" w14:textId="63C187F9" w:rsidR="00697A05" w:rsidRPr="00830BAD" w:rsidRDefault="00697A05" w:rsidP="001313CD">
            <w:pPr>
              <w:spacing w:after="0" w:line="240" w:lineRule="auto"/>
              <w:jc w:val="both"/>
              <w:rPr>
                <w:rFonts w:cstheme="minorHAnsi"/>
                <w:b/>
                <w:bCs/>
                <w:color w:val="000000"/>
              </w:rPr>
            </w:pPr>
            <w:r w:rsidRPr="00830BAD">
              <w:rPr>
                <w:rFonts w:cstheme="minorHAnsi"/>
                <w:b/>
                <w:bCs/>
                <w:color w:val="000000"/>
              </w:rPr>
              <w:lastRenderedPageBreak/>
              <w:t>Tab</w:t>
            </w:r>
            <w:r w:rsidR="00065988">
              <w:rPr>
                <w:rFonts w:cstheme="minorHAnsi"/>
                <w:b/>
                <w:bCs/>
                <w:color w:val="000000"/>
              </w:rPr>
              <w:t>le</w:t>
            </w:r>
            <w:r w:rsidR="00935C4E">
              <w:rPr>
                <w:rFonts w:cstheme="minorHAnsi"/>
                <w:b/>
                <w:bCs/>
                <w:color w:val="000000"/>
              </w:rPr>
              <w:t xml:space="preserve"> </w:t>
            </w:r>
            <w:r w:rsidR="00155C26" w:rsidRPr="00830BAD">
              <w:rPr>
                <w:rFonts w:cstheme="minorHAnsi"/>
                <w:b/>
                <w:bCs/>
                <w:color w:val="000000"/>
              </w:rPr>
              <w:t>5</w:t>
            </w:r>
            <w:r w:rsidR="00155C26" w:rsidRPr="00830BAD">
              <w:rPr>
                <w:rFonts w:cstheme="minorHAnsi"/>
                <w:color w:val="000000"/>
              </w:rPr>
              <w:t xml:space="preserve">  Influence of Prostaglandins (pgf2α) levels with</w:t>
            </w:r>
            <w:r w:rsidR="00155C26" w:rsidRPr="00830BAD">
              <w:rPr>
                <w:rFonts w:eastAsia="Times New Roman" w:cstheme="minorHAnsi"/>
                <w:bCs/>
                <w:color w:val="000000"/>
              </w:rPr>
              <w:t xml:space="preserve"> Dysmenorrhea</w:t>
            </w:r>
            <w:r w:rsidR="00EB0A63">
              <w:rPr>
                <w:rFonts w:cstheme="minorHAnsi"/>
                <w:color w:val="000000"/>
              </w:rPr>
              <w:t xml:space="preserve"> events.</w:t>
            </w:r>
          </w:p>
        </w:tc>
      </w:tr>
      <w:tr w:rsidR="00697A05" w:rsidRPr="00830BAD" w14:paraId="670CCC55" w14:textId="77777777" w:rsidTr="00C4384E">
        <w:trPr>
          <w:trHeight w:val="206"/>
        </w:trPr>
        <w:tc>
          <w:tcPr>
            <w:tcW w:w="1259" w:type="dxa"/>
            <w:vMerge w:val="restart"/>
            <w:tcBorders>
              <w:top w:val="nil"/>
              <w:left w:val="nil"/>
              <w:bottom w:val="single" w:sz="4" w:space="0" w:color="000000"/>
              <w:right w:val="nil"/>
            </w:tcBorders>
            <w:shd w:val="clear" w:color="000000" w:fill="FFFFFF"/>
            <w:tcMar>
              <w:top w:w="15" w:type="dxa"/>
              <w:left w:w="15" w:type="dxa"/>
              <w:bottom w:w="0" w:type="dxa"/>
              <w:right w:w="15" w:type="dxa"/>
            </w:tcMar>
            <w:vAlign w:val="center"/>
            <w:hideMark/>
          </w:tcPr>
          <w:p w14:paraId="4A200F44" w14:textId="77777777" w:rsidR="00697A05" w:rsidRPr="00830BAD" w:rsidRDefault="00C17085" w:rsidP="001313CD">
            <w:pPr>
              <w:spacing w:after="0" w:line="240" w:lineRule="auto"/>
              <w:jc w:val="center"/>
              <w:rPr>
                <w:rFonts w:cstheme="minorHAnsi"/>
                <w:b/>
                <w:bCs/>
                <w:color w:val="000000"/>
              </w:rPr>
            </w:pPr>
            <w:r>
              <w:rPr>
                <w:rFonts w:cstheme="minorHAnsi"/>
                <w:b/>
                <w:bCs/>
                <w:color w:val="000000"/>
              </w:rPr>
              <w:t>Variable</w:t>
            </w:r>
          </w:p>
        </w:tc>
        <w:tc>
          <w:tcPr>
            <w:tcW w:w="726" w:type="dxa"/>
            <w:vMerge w:val="restart"/>
            <w:tcBorders>
              <w:top w:val="nil"/>
              <w:left w:val="nil"/>
              <w:bottom w:val="single" w:sz="4" w:space="0" w:color="000000"/>
              <w:right w:val="nil"/>
            </w:tcBorders>
            <w:shd w:val="clear" w:color="000000" w:fill="FFFFFF"/>
            <w:tcMar>
              <w:top w:w="15" w:type="dxa"/>
              <w:left w:w="15" w:type="dxa"/>
              <w:bottom w:w="0" w:type="dxa"/>
              <w:right w:w="15" w:type="dxa"/>
            </w:tcMar>
            <w:vAlign w:val="center"/>
            <w:hideMark/>
          </w:tcPr>
          <w:p w14:paraId="4AF68B07" w14:textId="77777777" w:rsidR="00697A05" w:rsidRPr="00830BAD" w:rsidRDefault="00697A05" w:rsidP="001313CD">
            <w:pPr>
              <w:spacing w:after="0" w:line="240" w:lineRule="auto"/>
              <w:jc w:val="center"/>
              <w:rPr>
                <w:rFonts w:cstheme="minorHAnsi"/>
                <w:b/>
                <w:bCs/>
                <w:color w:val="000000"/>
              </w:rPr>
            </w:pPr>
            <w:r w:rsidRPr="00830BAD">
              <w:rPr>
                <w:rFonts w:cstheme="minorHAnsi"/>
                <w:b/>
                <w:bCs/>
                <w:color w:val="000000"/>
              </w:rPr>
              <w:t>B</w:t>
            </w:r>
          </w:p>
        </w:tc>
        <w:tc>
          <w:tcPr>
            <w:tcW w:w="850" w:type="dxa"/>
            <w:vMerge w:val="restart"/>
            <w:tcBorders>
              <w:top w:val="nil"/>
              <w:left w:val="nil"/>
              <w:bottom w:val="single" w:sz="4" w:space="0" w:color="000000"/>
              <w:right w:val="nil"/>
            </w:tcBorders>
            <w:shd w:val="clear" w:color="000000" w:fill="FFFFFF"/>
            <w:tcMar>
              <w:top w:w="15" w:type="dxa"/>
              <w:left w:w="15" w:type="dxa"/>
              <w:bottom w:w="0" w:type="dxa"/>
              <w:right w:w="15" w:type="dxa"/>
            </w:tcMar>
            <w:vAlign w:val="center"/>
            <w:hideMark/>
          </w:tcPr>
          <w:p w14:paraId="6F4077E3" w14:textId="77777777" w:rsidR="00697A05" w:rsidRPr="00830BAD" w:rsidRDefault="00697A05" w:rsidP="001313CD">
            <w:pPr>
              <w:spacing w:after="0" w:line="240" w:lineRule="auto"/>
              <w:jc w:val="center"/>
              <w:rPr>
                <w:rFonts w:cstheme="minorHAnsi"/>
                <w:b/>
                <w:bCs/>
                <w:color w:val="000000"/>
              </w:rPr>
            </w:pPr>
            <w:r w:rsidRPr="00830BAD">
              <w:rPr>
                <w:rFonts w:cstheme="minorHAnsi"/>
                <w:b/>
                <w:bCs/>
                <w:color w:val="000000"/>
              </w:rPr>
              <w:t>S.E.</w:t>
            </w:r>
          </w:p>
        </w:tc>
        <w:tc>
          <w:tcPr>
            <w:tcW w:w="709" w:type="dxa"/>
            <w:vMerge w:val="restart"/>
            <w:tcBorders>
              <w:top w:val="nil"/>
              <w:left w:val="nil"/>
              <w:bottom w:val="single" w:sz="4" w:space="0" w:color="000000"/>
              <w:right w:val="nil"/>
            </w:tcBorders>
            <w:shd w:val="clear" w:color="000000" w:fill="FFFFFF"/>
            <w:tcMar>
              <w:top w:w="15" w:type="dxa"/>
              <w:left w:w="15" w:type="dxa"/>
              <w:bottom w:w="0" w:type="dxa"/>
              <w:right w:w="15" w:type="dxa"/>
            </w:tcMar>
            <w:vAlign w:val="center"/>
            <w:hideMark/>
          </w:tcPr>
          <w:p w14:paraId="17443255" w14:textId="77777777" w:rsidR="00697A05" w:rsidRPr="00830BAD" w:rsidRDefault="00697A05" w:rsidP="001313CD">
            <w:pPr>
              <w:spacing w:after="0" w:line="240" w:lineRule="auto"/>
              <w:jc w:val="center"/>
              <w:rPr>
                <w:rFonts w:cstheme="minorHAnsi"/>
                <w:b/>
                <w:bCs/>
                <w:color w:val="000000"/>
              </w:rPr>
            </w:pPr>
            <w:r w:rsidRPr="00830BAD">
              <w:rPr>
                <w:rFonts w:cstheme="minorHAnsi"/>
                <w:b/>
                <w:bCs/>
                <w:color w:val="000000"/>
              </w:rPr>
              <w:t>Wald</w:t>
            </w:r>
          </w:p>
        </w:tc>
        <w:tc>
          <w:tcPr>
            <w:tcW w:w="567" w:type="dxa"/>
            <w:vMerge w:val="restart"/>
            <w:tcBorders>
              <w:top w:val="nil"/>
              <w:left w:val="nil"/>
              <w:bottom w:val="single" w:sz="4" w:space="0" w:color="000000"/>
              <w:right w:val="nil"/>
            </w:tcBorders>
            <w:shd w:val="clear" w:color="000000" w:fill="FFFFFF"/>
            <w:tcMar>
              <w:top w:w="15" w:type="dxa"/>
              <w:left w:w="15" w:type="dxa"/>
              <w:bottom w:w="0" w:type="dxa"/>
              <w:right w:w="15" w:type="dxa"/>
            </w:tcMar>
            <w:vAlign w:val="center"/>
            <w:hideMark/>
          </w:tcPr>
          <w:p w14:paraId="2E4BABE4" w14:textId="77777777" w:rsidR="00697A05" w:rsidRPr="00830BAD" w:rsidRDefault="00697A05" w:rsidP="001313CD">
            <w:pPr>
              <w:spacing w:after="0" w:line="240" w:lineRule="auto"/>
              <w:jc w:val="center"/>
              <w:rPr>
                <w:rFonts w:cstheme="minorHAnsi"/>
                <w:b/>
                <w:bCs/>
                <w:color w:val="000000"/>
              </w:rPr>
            </w:pPr>
            <w:r w:rsidRPr="00830BAD">
              <w:rPr>
                <w:rFonts w:cstheme="minorHAnsi"/>
                <w:b/>
                <w:bCs/>
                <w:color w:val="000000"/>
              </w:rPr>
              <w:t>df</w:t>
            </w:r>
          </w:p>
        </w:tc>
        <w:tc>
          <w:tcPr>
            <w:tcW w:w="960" w:type="dxa"/>
            <w:vMerge w:val="restart"/>
            <w:tcBorders>
              <w:top w:val="nil"/>
              <w:left w:val="nil"/>
              <w:bottom w:val="single" w:sz="4" w:space="0" w:color="000000"/>
              <w:right w:val="nil"/>
            </w:tcBorders>
            <w:shd w:val="clear" w:color="000000" w:fill="FFFFFF"/>
            <w:tcMar>
              <w:top w:w="15" w:type="dxa"/>
              <w:left w:w="15" w:type="dxa"/>
              <w:bottom w:w="0" w:type="dxa"/>
              <w:right w:w="15" w:type="dxa"/>
            </w:tcMar>
            <w:vAlign w:val="center"/>
            <w:hideMark/>
          </w:tcPr>
          <w:p w14:paraId="280E0878" w14:textId="709A2C45" w:rsidR="00697A05" w:rsidRPr="00830BAD" w:rsidRDefault="00D07A09" w:rsidP="00D07A09">
            <w:pPr>
              <w:spacing w:after="0" w:line="240" w:lineRule="auto"/>
              <w:jc w:val="center"/>
              <w:rPr>
                <w:rFonts w:cstheme="minorHAnsi"/>
                <w:b/>
                <w:bCs/>
                <w:color w:val="000000"/>
              </w:rPr>
            </w:pPr>
            <w:r>
              <w:rPr>
                <w:rFonts w:cstheme="minorHAnsi"/>
                <w:b/>
                <w:bCs/>
                <w:color w:val="000000"/>
              </w:rPr>
              <w:t>p-value</w:t>
            </w:r>
            <w:r w:rsidR="00697A05" w:rsidRPr="00830BAD">
              <w:rPr>
                <w:rFonts w:cstheme="minorHAnsi"/>
                <w:b/>
                <w:bCs/>
                <w:color w:val="000000"/>
              </w:rPr>
              <w:t xml:space="preserve"> </w:t>
            </w:r>
          </w:p>
        </w:tc>
        <w:tc>
          <w:tcPr>
            <w:tcW w:w="960" w:type="dxa"/>
            <w:vMerge w:val="restart"/>
            <w:tcBorders>
              <w:top w:val="nil"/>
              <w:left w:val="nil"/>
              <w:bottom w:val="single" w:sz="4" w:space="0" w:color="000000"/>
              <w:right w:val="nil"/>
            </w:tcBorders>
            <w:shd w:val="clear" w:color="000000" w:fill="FFFFFF"/>
            <w:tcMar>
              <w:top w:w="15" w:type="dxa"/>
              <w:left w:w="15" w:type="dxa"/>
              <w:bottom w:w="0" w:type="dxa"/>
              <w:right w:w="15" w:type="dxa"/>
            </w:tcMar>
            <w:vAlign w:val="center"/>
            <w:hideMark/>
          </w:tcPr>
          <w:p w14:paraId="3D67B7BD" w14:textId="77777777" w:rsidR="00697A05" w:rsidRPr="00830BAD" w:rsidRDefault="00697A05" w:rsidP="001313CD">
            <w:pPr>
              <w:spacing w:after="0" w:line="240" w:lineRule="auto"/>
              <w:jc w:val="center"/>
              <w:rPr>
                <w:rFonts w:cstheme="minorHAnsi"/>
                <w:b/>
                <w:bCs/>
                <w:color w:val="000000"/>
              </w:rPr>
            </w:pPr>
            <w:r w:rsidRPr="00830BAD">
              <w:rPr>
                <w:rFonts w:cstheme="minorHAnsi"/>
                <w:b/>
                <w:bCs/>
                <w:color w:val="000000"/>
              </w:rPr>
              <w:t>OR</w:t>
            </w:r>
          </w:p>
        </w:tc>
        <w:tc>
          <w:tcPr>
            <w:tcW w:w="2051" w:type="dxa"/>
            <w:gridSpan w:val="3"/>
            <w:tcBorders>
              <w:top w:val="single" w:sz="4" w:space="0" w:color="auto"/>
              <w:left w:val="nil"/>
              <w:bottom w:val="nil"/>
              <w:right w:val="nil"/>
            </w:tcBorders>
            <w:shd w:val="clear" w:color="000000" w:fill="FFFFFF"/>
            <w:tcMar>
              <w:top w:w="15" w:type="dxa"/>
              <w:left w:w="15" w:type="dxa"/>
              <w:bottom w:w="0" w:type="dxa"/>
              <w:right w:w="15" w:type="dxa"/>
            </w:tcMar>
            <w:vAlign w:val="center"/>
            <w:hideMark/>
          </w:tcPr>
          <w:p w14:paraId="4F00A6D3" w14:textId="77777777" w:rsidR="00697A05" w:rsidRPr="00830BAD" w:rsidRDefault="00697A05" w:rsidP="001313CD">
            <w:pPr>
              <w:spacing w:after="0" w:line="240" w:lineRule="auto"/>
              <w:jc w:val="center"/>
              <w:rPr>
                <w:rFonts w:cstheme="minorHAnsi"/>
                <w:b/>
                <w:bCs/>
                <w:color w:val="000000"/>
              </w:rPr>
            </w:pPr>
            <w:r w:rsidRPr="00830BAD">
              <w:rPr>
                <w:rFonts w:cstheme="minorHAnsi"/>
                <w:b/>
                <w:bCs/>
                <w:color w:val="000000"/>
              </w:rPr>
              <w:t>95% C.I.for OR</w:t>
            </w:r>
          </w:p>
        </w:tc>
      </w:tr>
      <w:tr w:rsidR="00697A05" w:rsidRPr="00830BAD" w14:paraId="6ACF19FE" w14:textId="77777777" w:rsidTr="00C4384E">
        <w:trPr>
          <w:trHeight w:val="336"/>
        </w:trPr>
        <w:tc>
          <w:tcPr>
            <w:tcW w:w="0" w:type="auto"/>
            <w:vMerge/>
            <w:tcBorders>
              <w:top w:val="nil"/>
              <w:left w:val="nil"/>
              <w:bottom w:val="single" w:sz="4" w:space="0" w:color="000000"/>
              <w:right w:val="nil"/>
            </w:tcBorders>
            <w:vAlign w:val="center"/>
            <w:hideMark/>
          </w:tcPr>
          <w:p w14:paraId="7107D75B" w14:textId="77777777" w:rsidR="00697A05" w:rsidRPr="00830BAD" w:rsidRDefault="00697A05" w:rsidP="001313CD">
            <w:pPr>
              <w:spacing w:after="0" w:line="240" w:lineRule="auto"/>
              <w:jc w:val="center"/>
              <w:rPr>
                <w:rFonts w:cstheme="minorHAnsi"/>
                <w:b/>
                <w:bCs/>
                <w:color w:val="000000"/>
              </w:rPr>
            </w:pPr>
          </w:p>
        </w:tc>
        <w:tc>
          <w:tcPr>
            <w:tcW w:w="726" w:type="dxa"/>
            <w:vMerge/>
            <w:tcBorders>
              <w:top w:val="nil"/>
              <w:left w:val="nil"/>
              <w:bottom w:val="single" w:sz="4" w:space="0" w:color="000000"/>
              <w:right w:val="nil"/>
            </w:tcBorders>
            <w:vAlign w:val="center"/>
            <w:hideMark/>
          </w:tcPr>
          <w:p w14:paraId="54DDAF46" w14:textId="77777777" w:rsidR="00697A05" w:rsidRPr="00830BAD" w:rsidRDefault="00697A05" w:rsidP="001313CD">
            <w:pPr>
              <w:spacing w:after="0" w:line="240" w:lineRule="auto"/>
              <w:jc w:val="center"/>
              <w:rPr>
                <w:rFonts w:cstheme="minorHAnsi"/>
                <w:b/>
                <w:bCs/>
                <w:color w:val="000000"/>
              </w:rPr>
            </w:pPr>
          </w:p>
        </w:tc>
        <w:tc>
          <w:tcPr>
            <w:tcW w:w="850" w:type="dxa"/>
            <w:vMerge/>
            <w:tcBorders>
              <w:top w:val="nil"/>
              <w:left w:val="nil"/>
              <w:bottom w:val="single" w:sz="4" w:space="0" w:color="000000"/>
              <w:right w:val="nil"/>
            </w:tcBorders>
            <w:vAlign w:val="center"/>
            <w:hideMark/>
          </w:tcPr>
          <w:p w14:paraId="5799FBF3" w14:textId="77777777" w:rsidR="00697A05" w:rsidRPr="00830BAD" w:rsidRDefault="00697A05" w:rsidP="001313CD">
            <w:pPr>
              <w:spacing w:after="0" w:line="240" w:lineRule="auto"/>
              <w:jc w:val="center"/>
              <w:rPr>
                <w:rFonts w:cstheme="minorHAnsi"/>
                <w:b/>
                <w:bCs/>
                <w:color w:val="000000"/>
              </w:rPr>
            </w:pPr>
          </w:p>
        </w:tc>
        <w:tc>
          <w:tcPr>
            <w:tcW w:w="709" w:type="dxa"/>
            <w:vMerge/>
            <w:tcBorders>
              <w:top w:val="nil"/>
              <w:left w:val="nil"/>
              <w:bottom w:val="single" w:sz="4" w:space="0" w:color="000000"/>
              <w:right w:val="nil"/>
            </w:tcBorders>
            <w:vAlign w:val="center"/>
            <w:hideMark/>
          </w:tcPr>
          <w:p w14:paraId="49638C38" w14:textId="77777777" w:rsidR="00697A05" w:rsidRPr="00830BAD" w:rsidRDefault="00697A05" w:rsidP="001313CD">
            <w:pPr>
              <w:spacing w:after="0" w:line="240" w:lineRule="auto"/>
              <w:jc w:val="center"/>
              <w:rPr>
                <w:rFonts w:cstheme="minorHAnsi"/>
                <w:b/>
                <w:bCs/>
                <w:color w:val="000000"/>
              </w:rPr>
            </w:pPr>
          </w:p>
        </w:tc>
        <w:tc>
          <w:tcPr>
            <w:tcW w:w="567" w:type="dxa"/>
            <w:vMerge/>
            <w:tcBorders>
              <w:top w:val="nil"/>
              <w:left w:val="nil"/>
              <w:bottom w:val="single" w:sz="4" w:space="0" w:color="000000"/>
              <w:right w:val="nil"/>
            </w:tcBorders>
            <w:vAlign w:val="center"/>
            <w:hideMark/>
          </w:tcPr>
          <w:p w14:paraId="0B070C40" w14:textId="77777777" w:rsidR="00697A05" w:rsidRPr="00830BAD" w:rsidRDefault="00697A05" w:rsidP="001313CD">
            <w:pPr>
              <w:spacing w:after="0" w:line="240" w:lineRule="auto"/>
              <w:jc w:val="center"/>
              <w:rPr>
                <w:rFonts w:cstheme="minorHAnsi"/>
                <w:b/>
                <w:bCs/>
                <w:color w:val="000000"/>
              </w:rPr>
            </w:pPr>
          </w:p>
        </w:tc>
        <w:tc>
          <w:tcPr>
            <w:tcW w:w="0" w:type="auto"/>
            <w:vMerge/>
            <w:tcBorders>
              <w:top w:val="nil"/>
              <w:left w:val="nil"/>
              <w:bottom w:val="single" w:sz="4" w:space="0" w:color="000000"/>
              <w:right w:val="nil"/>
            </w:tcBorders>
            <w:vAlign w:val="center"/>
            <w:hideMark/>
          </w:tcPr>
          <w:p w14:paraId="286DA6CD" w14:textId="77777777" w:rsidR="00697A05" w:rsidRPr="00830BAD" w:rsidRDefault="00697A05" w:rsidP="001313CD">
            <w:pPr>
              <w:spacing w:after="0" w:line="240" w:lineRule="auto"/>
              <w:jc w:val="center"/>
              <w:rPr>
                <w:rFonts w:cstheme="minorHAnsi"/>
                <w:b/>
                <w:bCs/>
                <w:color w:val="000000"/>
              </w:rPr>
            </w:pPr>
          </w:p>
        </w:tc>
        <w:tc>
          <w:tcPr>
            <w:tcW w:w="0" w:type="auto"/>
            <w:vMerge/>
            <w:tcBorders>
              <w:top w:val="nil"/>
              <w:left w:val="nil"/>
              <w:bottom w:val="single" w:sz="4" w:space="0" w:color="000000"/>
              <w:right w:val="nil"/>
            </w:tcBorders>
            <w:vAlign w:val="center"/>
            <w:hideMark/>
          </w:tcPr>
          <w:p w14:paraId="11A4DF1E" w14:textId="77777777" w:rsidR="00697A05" w:rsidRPr="00830BAD" w:rsidRDefault="00697A05" w:rsidP="001313CD">
            <w:pPr>
              <w:spacing w:after="0" w:line="240" w:lineRule="auto"/>
              <w:jc w:val="center"/>
              <w:rPr>
                <w:rFonts w:cstheme="minorHAnsi"/>
                <w:b/>
                <w:bCs/>
                <w:color w:val="000000"/>
              </w:rPr>
            </w:pPr>
          </w:p>
        </w:tc>
        <w:tc>
          <w:tcPr>
            <w:tcW w:w="1199"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7D1030CD" w14:textId="77777777" w:rsidR="00697A05" w:rsidRPr="00830BAD" w:rsidRDefault="00697A05" w:rsidP="001313CD">
            <w:pPr>
              <w:spacing w:after="0" w:line="240" w:lineRule="auto"/>
              <w:jc w:val="center"/>
              <w:rPr>
                <w:rFonts w:cstheme="minorHAnsi"/>
                <w:b/>
                <w:bCs/>
                <w:color w:val="000000"/>
              </w:rPr>
            </w:pPr>
            <w:r w:rsidRPr="00830BAD">
              <w:rPr>
                <w:rFonts w:cstheme="minorHAnsi"/>
                <w:b/>
                <w:bCs/>
                <w:color w:val="000000"/>
              </w:rPr>
              <w:t>Lower</w:t>
            </w:r>
          </w:p>
        </w:tc>
        <w:tc>
          <w:tcPr>
            <w:tcW w:w="852" w:type="dxa"/>
            <w:gridSpan w:val="2"/>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712D1D6F" w14:textId="77777777" w:rsidR="00697A05" w:rsidRPr="00830BAD" w:rsidRDefault="00697A05" w:rsidP="001313CD">
            <w:pPr>
              <w:spacing w:after="0" w:line="240" w:lineRule="auto"/>
              <w:jc w:val="center"/>
              <w:rPr>
                <w:rFonts w:cstheme="minorHAnsi"/>
                <w:b/>
                <w:bCs/>
                <w:color w:val="000000"/>
              </w:rPr>
            </w:pPr>
            <w:r w:rsidRPr="00830BAD">
              <w:rPr>
                <w:rFonts w:cstheme="minorHAnsi"/>
                <w:b/>
                <w:bCs/>
                <w:color w:val="000000"/>
              </w:rPr>
              <w:t>Upper</w:t>
            </w:r>
          </w:p>
        </w:tc>
      </w:tr>
      <w:tr w:rsidR="00697A05" w:rsidRPr="00830BAD" w14:paraId="7C2D238F" w14:textId="77777777" w:rsidTr="00C4384E">
        <w:trPr>
          <w:trHeight w:val="343"/>
        </w:trPr>
        <w:tc>
          <w:tcPr>
            <w:tcW w:w="1259" w:type="dxa"/>
            <w:tcBorders>
              <w:top w:val="nil"/>
              <w:left w:val="nil"/>
              <w:bottom w:val="single" w:sz="4" w:space="0" w:color="auto"/>
              <w:right w:val="nil"/>
            </w:tcBorders>
            <w:shd w:val="clear" w:color="000000" w:fill="FFFFFF"/>
            <w:tcMar>
              <w:top w:w="0" w:type="dxa"/>
              <w:left w:w="15" w:type="dxa"/>
              <w:bottom w:w="0" w:type="dxa"/>
              <w:right w:w="15" w:type="dxa"/>
            </w:tcMar>
            <w:vAlign w:val="center"/>
            <w:hideMark/>
          </w:tcPr>
          <w:p w14:paraId="26250A0E" w14:textId="77777777" w:rsidR="00697A05" w:rsidRPr="00830BAD" w:rsidRDefault="00697A05" w:rsidP="001313CD">
            <w:pPr>
              <w:spacing w:after="0" w:line="240" w:lineRule="auto"/>
              <w:jc w:val="center"/>
              <w:rPr>
                <w:rFonts w:cstheme="minorHAnsi"/>
                <w:color w:val="000000"/>
              </w:rPr>
            </w:pPr>
            <w:r w:rsidRPr="00830BAD">
              <w:rPr>
                <w:rFonts w:cstheme="minorHAnsi"/>
                <w:color w:val="000000"/>
              </w:rPr>
              <w:t>Prostaglandin</w:t>
            </w:r>
          </w:p>
        </w:tc>
        <w:tc>
          <w:tcPr>
            <w:tcW w:w="726" w:type="dxa"/>
            <w:tcBorders>
              <w:top w:val="nil"/>
              <w:left w:val="nil"/>
              <w:bottom w:val="single" w:sz="4" w:space="0" w:color="auto"/>
              <w:right w:val="nil"/>
            </w:tcBorders>
            <w:shd w:val="clear" w:color="000000" w:fill="FFFFFF"/>
            <w:noWrap/>
            <w:tcMar>
              <w:top w:w="0" w:type="dxa"/>
              <w:left w:w="15" w:type="dxa"/>
              <w:bottom w:w="0" w:type="dxa"/>
              <w:right w:w="15" w:type="dxa"/>
            </w:tcMar>
            <w:vAlign w:val="center"/>
            <w:hideMark/>
          </w:tcPr>
          <w:p w14:paraId="75FF7A66" w14:textId="77777777" w:rsidR="00697A05" w:rsidRPr="00830BAD" w:rsidRDefault="00697A05" w:rsidP="001313CD">
            <w:pPr>
              <w:spacing w:after="0" w:line="240" w:lineRule="auto"/>
              <w:jc w:val="center"/>
              <w:rPr>
                <w:rFonts w:cstheme="minorHAnsi"/>
                <w:color w:val="000000"/>
              </w:rPr>
            </w:pPr>
            <w:r w:rsidRPr="00830BAD">
              <w:rPr>
                <w:rFonts w:cstheme="minorHAnsi"/>
                <w:color w:val="000000"/>
              </w:rPr>
              <w:t>0.03</w:t>
            </w:r>
            <w:r w:rsidR="00994F47">
              <w:rPr>
                <w:rFonts w:cstheme="minorHAnsi"/>
                <w:color w:val="000000"/>
              </w:rPr>
              <w:t>0</w:t>
            </w:r>
          </w:p>
        </w:tc>
        <w:tc>
          <w:tcPr>
            <w:tcW w:w="850" w:type="dxa"/>
            <w:tcBorders>
              <w:top w:val="nil"/>
              <w:left w:val="nil"/>
              <w:bottom w:val="single" w:sz="4" w:space="0" w:color="auto"/>
              <w:right w:val="nil"/>
            </w:tcBorders>
            <w:shd w:val="clear" w:color="000000" w:fill="FFFFFF"/>
            <w:noWrap/>
            <w:tcMar>
              <w:top w:w="0" w:type="dxa"/>
              <w:left w:w="15" w:type="dxa"/>
              <w:bottom w:w="0" w:type="dxa"/>
              <w:right w:w="15" w:type="dxa"/>
            </w:tcMar>
            <w:vAlign w:val="center"/>
            <w:hideMark/>
          </w:tcPr>
          <w:p w14:paraId="6507878D" w14:textId="77777777" w:rsidR="00697A05" w:rsidRPr="00830BAD" w:rsidRDefault="00697A05" w:rsidP="001313CD">
            <w:pPr>
              <w:spacing w:after="0" w:line="240" w:lineRule="auto"/>
              <w:jc w:val="center"/>
              <w:rPr>
                <w:rFonts w:cstheme="minorHAnsi"/>
                <w:color w:val="000000"/>
              </w:rPr>
            </w:pPr>
            <w:r w:rsidRPr="00830BAD">
              <w:rPr>
                <w:rFonts w:cstheme="minorHAnsi"/>
                <w:color w:val="000000"/>
              </w:rPr>
              <w:t>0.01</w:t>
            </w:r>
            <w:r w:rsidR="00994F47">
              <w:rPr>
                <w:rFonts w:cstheme="minorHAnsi"/>
                <w:color w:val="000000"/>
              </w:rPr>
              <w:t>0</w:t>
            </w:r>
          </w:p>
        </w:tc>
        <w:tc>
          <w:tcPr>
            <w:tcW w:w="709" w:type="dxa"/>
            <w:tcBorders>
              <w:top w:val="nil"/>
              <w:left w:val="nil"/>
              <w:bottom w:val="single" w:sz="4" w:space="0" w:color="auto"/>
              <w:right w:val="nil"/>
            </w:tcBorders>
            <w:shd w:val="clear" w:color="000000" w:fill="FFFFFF"/>
            <w:noWrap/>
            <w:tcMar>
              <w:top w:w="0" w:type="dxa"/>
              <w:left w:w="15" w:type="dxa"/>
              <w:bottom w:w="0" w:type="dxa"/>
              <w:right w:w="15" w:type="dxa"/>
            </w:tcMar>
            <w:vAlign w:val="center"/>
            <w:hideMark/>
          </w:tcPr>
          <w:p w14:paraId="6CE806A9" w14:textId="77777777" w:rsidR="00697A05" w:rsidRPr="00830BAD" w:rsidRDefault="00697A05" w:rsidP="001313CD">
            <w:pPr>
              <w:spacing w:after="0" w:line="240" w:lineRule="auto"/>
              <w:jc w:val="center"/>
              <w:rPr>
                <w:rFonts w:cstheme="minorHAnsi"/>
                <w:color w:val="000000"/>
              </w:rPr>
            </w:pPr>
            <w:r w:rsidRPr="00830BAD">
              <w:rPr>
                <w:rFonts w:cstheme="minorHAnsi"/>
                <w:color w:val="000000"/>
              </w:rPr>
              <w:t>9.642</w:t>
            </w:r>
          </w:p>
        </w:tc>
        <w:tc>
          <w:tcPr>
            <w:tcW w:w="567" w:type="dxa"/>
            <w:tcBorders>
              <w:top w:val="nil"/>
              <w:left w:val="nil"/>
              <w:bottom w:val="single" w:sz="4" w:space="0" w:color="auto"/>
              <w:right w:val="nil"/>
            </w:tcBorders>
            <w:shd w:val="clear" w:color="000000" w:fill="FFFFFF"/>
            <w:noWrap/>
            <w:tcMar>
              <w:top w:w="0" w:type="dxa"/>
              <w:left w:w="15" w:type="dxa"/>
              <w:bottom w:w="0" w:type="dxa"/>
              <w:right w:w="15" w:type="dxa"/>
            </w:tcMar>
            <w:vAlign w:val="center"/>
            <w:hideMark/>
          </w:tcPr>
          <w:p w14:paraId="1C546474" w14:textId="77777777" w:rsidR="00697A05" w:rsidRPr="00830BAD" w:rsidRDefault="00697A05" w:rsidP="001313CD">
            <w:pPr>
              <w:spacing w:after="0" w:line="240" w:lineRule="auto"/>
              <w:jc w:val="center"/>
              <w:rPr>
                <w:rFonts w:cstheme="minorHAnsi"/>
                <w:color w:val="000000"/>
              </w:rPr>
            </w:pPr>
            <w:r w:rsidRPr="00830BAD">
              <w:rPr>
                <w:rFonts w:cstheme="minorHAnsi"/>
                <w:color w:val="000000"/>
              </w:rPr>
              <w:t>1</w:t>
            </w:r>
          </w:p>
        </w:tc>
        <w:tc>
          <w:tcPr>
            <w:tcW w:w="0" w:type="auto"/>
            <w:tcBorders>
              <w:top w:val="nil"/>
              <w:left w:val="nil"/>
              <w:bottom w:val="single" w:sz="4" w:space="0" w:color="auto"/>
              <w:right w:val="nil"/>
            </w:tcBorders>
            <w:shd w:val="clear" w:color="000000" w:fill="FFFFFF"/>
            <w:noWrap/>
            <w:tcMar>
              <w:top w:w="0" w:type="dxa"/>
              <w:left w:w="15" w:type="dxa"/>
              <w:bottom w:w="0" w:type="dxa"/>
              <w:right w:w="15" w:type="dxa"/>
            </w:tcMar>
            <w:vAlign w:val="center"/>
            <w:hideMark/>
          </w:tcPr>
          <w:p w14:paraId="6C9E6EB6" w14:textId="77777777" w:rsidR="00697A05" w:rsidRPr="00830BAD" w:rsidRDefault="00697A05" w:rsidP="001313CD">
            <w:pPr>
              <w:spacing w:after="0" w:line="240" w:lineRule="auto"/>
              <w:jc w:val="center"/>
              <w:rPr>
                <w:rFonts w:cstheme="minorHAnsi"/>
                <w:color w:val="000000"/>
              </w:rPr>
            </w:pPr>
            <w:r w:rsidRPr="00830BAD">
              <w:rPr>
                <w:rFonts w:cstheme="minorHAnsi"/>
                <w:color w:val="000000"/>
              </w:rPr>
              <w:t>0.002</w:t>
            </w:r>
          </w:p>
        </w:tc>
        <w:tc>
          <w:tcPr>
            <w:tcW w:w="0" w:type="auto"/>
            <w:tcBorders>
              <w:top w:val="nil"/>
              <w:left w:val="nil"/>
              <w:bottom w:val="single" w:sz="4" w:space="0" w:color="auto"/>
              <w:right w:val="nil"/>
            </w:tcBorders>
            <w:shd w:val="clear" w:color="000000" w:fill="FFFFFF"/>
            <w:noWrap/>
            <w:tcMar>
              <w:top w:w="0" w:type="dxa"/>
              <w:left w:w="15" w:type="dxa"/>
              <w:bottom w:w="0" w:type="dxa"/>
              <w:right w:w="15" w:type="dxa"/>
            </w:tcMar>
            <w:vAlign w:val="center"/>
            <w:hideMark/>
          </w:tcPr>
          <w:p w14:paraId="150A1B47" w14:textId="77777777" w:rsidR="00697A05" w:rsidRPr="00830BAD" w:rsidRDefault="00697A05" w:rsidP="001313CD">
            <w:pPr>
              <w:spacing w:after="0" w:line="240" w:lineRule="auto"/>
              <w:jc w:val="center"/>
              <w:rPr>
                <w:rFonts w:cstheme="minorHAnsi"/>
                <w:color w:val="000000"/>
              </w:rPr>
            </w:pPr>
            <w:r w:rsidRPr="00830BAD">
              <w:rPr>
                <w:rFonts w:cstheme="minorHAnsi"/>
                <w:color w:val="000000"/>
              </w:rPr>
              <w:t>1.031</w:t>
            </w:r>
          </w:p>
        </w:tc>
        <w:tc>
          <w:tcPr>
            <w:tcW w:w="1199" w:type="dxa"/>
            <w:tcBorders>
              <w:top w:val="nil"/>
              <w:left w:val="nil"/>
              <w:bottom w:val="single" w:sz="4" w:space="0" w:color="auto"/>
              <w:right w:val="nil"/>
            </w:tcBorders>
            <w:shd w:val="clear" w:color="000000" w:fill="FFFFFF"/>
            <w:noWrap/>
            <w:tcMar>
              <w:top w:w="0" w:type="dxa"/>
              <w:left w:w="15" w:type="dxa"/>
              <w:bottom w:w="0" w:type="dxa"/>
              <w:right w:w="15" w:type="dxa"/>
            </w:tcMar>
            <w:vAlign w:val="center"/>
            <w:hideMark/>
          </w:tcPr>
          <w:p w14:paraId="3FC540A5" w14:textId="77777777" w:rsidR="00697A05" w:rsidRPr="00830BAD" w:rsidRDefault="00697A05" w:rsidP="001313CD">
            <w:pPr>
              <w:spacing w:after="0" w:line="240" w:lineRule="auto"/>
              <w:jc w:val="center"/>
              <w:rPr>
                <w:rFonts w:cstheme="minorHAnsi"/>
                <w:color w:val="000000"/>
              </w:rPr>
            </w:pPr>
            <w:r w:rsidRPr="00830BAD">
              <w:rPr>
                <w:rFonts w:cstheme="minorHAnsi"/>
                <w:color w:val="000000"/>
              </w:rPr>
              <w:t>1.011</w:t>
            </w:r>
          </w:p>
        </w:tc>
        <w:tc>
          <w:tcPr>
            <w:tcW w:w="852" w:type="dxa"/>
            <w:gridSpan w:val="2"/>
            <w:tcBorders>
              <w:top w:val="nil"/>
              <w:left w:val="nil"/>
              <w:bottom w:val="single" w:sz="4" w:space="0" w:color="auto"/>
              <w:right w:val="nil"/>
            </w:tcBorders>
            <w:shd w:val="clear" w:color="000000" w:fill="FFFFFF"/>
            <w:noWrap/>
            <w:tcMar>
              <w:top w:w="0" w:type="dxa"/>
              <w:left w:w="15" w:type="dxa"/>
              <w:bottom w:w="0" w:type="dxa"/>
              <w:right w:w="15" w:type="dxa"/>
            </w:tcMar>
            <w:vAlign w:val="center"/>
            <w:hideMark/>
          </w:tcPr>
          <w:p w14:paraId="0D4DC938" w14:textId="77777777" w:rsidR="00697A05" w:rsidRPr="00830BAD" w:rsidRDefault="00697A05" w:rsidP="001313CD">
            <w:pPr>
              <w:spacing w:after="0" w:line="240" w:lineRule="auto"/>
              <w:jc w:val="center"/>
              <w:rPr>
                <w:rFonts w:cstheme="minorHAnsi"/>
                <w:color w:val="000000"/>
              </w:rPr>
            </w:pPr>
            <w:r w:rsidRPr="00830BAD">
              <w:rPr>
                <w:rFonts w:cstheme="minorHAnsi"/>
                <w:color w:val="000000"/>
              </w:rPr>
              <w:t>1.05</w:t>
            </w:r>
            <w:r w:rsidR="00994F47">
              <w:rPr>
                <w:rFonts w:cstheme="minorHAnsi"/>
                <w:color w:val="000000"/>
              </w:rPr>
              <w:t>0</w:t>
            </w:r>
          </w:p>
        </w:tc>
      </w:tr>
    </w:tbl>
    <w:p w14:paraId="6ABA2A52" w14:textId="77777777" w:rsidR="00EE5C0F" w:rsidRDefault="00102E2A" w:rsidP="00830BAD">
      <w:pPr>
        <w:tabs>
          <w:tab w:val="left" w:pos="284"/>
          <w:tab w:val="left" w:pos="567"/>
        </w:tabs>
        <w:suppressAutoHyphens/>
        <w:spacing w:after="0" w:line="240" w:lineRule="auto"/>
        <w:jc w:val="both"/>
        <w:rPr>
          <w:rFonts w:cstheme="minorHAnsi"/>
          <w:i/>
          <w:color w:val="000000" w:themeColor="text1"/>
        </w:rPr>
      </w:pPr>
      <w:r w:rsidRPr="00830BAD">
        <w:rPr>
          <w:rFonts w:cstheme="minorHAnsi"/>
        </w:rPr>
        <w:t>*</w:t>
      </w:r>
      <w:r w:rsidR="00697A05" w:rsidRPr="00830BAD">
        <w:rPr>
          <w:rFonts w:cstheme="minorHAnsi"/>
          <w:i/>
          <w:color w:val="000000" w:themeColor="text1"/>
        </w:rPr>
        <w:t xml:space="preserve"> </w:t>
      </w:r>
      <w:r w:rsidR="004C5AB6" w:rsidRPr="00830BAD">
        <w:rPr>
          <w:rFonts w:cstheme="minorHAnsi"/>
          <w:i/>
          <w:color w:val="000000" w:themeColor="text1"/>
        </w:rPr>
        <w:t>Regresi logistic</w:t>
      </w:r>
    </w:p>
    <w:p w14:paraId="02F671EC" w14:textId="77777777" w:rsidR="00285506" w:rsidRDefault="00285506" w:rsidP="00830BAD">
      <w:pPr>
        <w:tabs>
          <w:tab w:val="left" w:pos="284"/>
          <w:tab w:val="left" w:pos="567"/>
        </w:tabs>
        <w:suppressAutoHyphens/>
        <w:spacing w:after="0" w:line="240" w:lineRule="auto"/>
        <w:jc w:val="both"/>
        <w:rPr>
          <w:rFonts w:cstheme="minorHAnsi"/>
          <w:i/>
          <w:color w:val="000000" w:themeColor="text1"/>
        </w:rPr>
      </w:pPr>
    </w:p>
    <w:p w14:paraId="437D0DF3" w14:textId="6214CCF5" w:rsidR="00483081" w:rsidRPr="00830BAD" w:rsidRDefault="00483081" w:rsidP="00830BAD">
      <w:pPr>
        <w:tabs>
          <w:tab w:val="left" w:pos="284"/>
          <w:tab w:val="left" w:pos="567"/>
        </w:tabs>
        <w:suppressAutoHyphens/>
        <w:spacing w:after="0" w:line="240" w:lineRule="auto"/>
        <w:jc w:val="both"/>
        <w:rPr>
          <w:rFonts w:cstheme="minorHAnsi"/>
          <w:i/>
          <w:color w:val="000000" w:themeColor="text1"/>
        </w:rPr>
      </w:pPr>
      <w:r w:rsidRPr="004E02D7">
        <w:rPr>
          <w:rFonts w:cstheme="minorHAnsi"/>
          <w:lang w:val="en"/>
        </w:rPr>
        <w:t>Prostaglandin levels with p</w:t>
      </w:r>
      <w:r w:rsidR="00285506">
        <w:rPr>
          <w:rFonts w:cstheme="minorHAnsi"/>
          <w:lang w:val="en"/>
        </w:rPr>
        <w:t>-</w:t>
      </w:r>
      <w:r w:rsidRPr="004E02D7">
        <w:rPr>
          <w:rFonts w:cstheme="minorHAnsi"/>
          <w:lang w:val="en"/>
        </w:rPr>
        <w:t xml:space="preserve">value 0.002, which means &lt;0.005. This shows that the incidence of dysmenorrhea </w:t>
      </w:r>
      <w:r w:rsidR="00727CAC">
        <w:rPr>
          <w:rFonts w:cstheme="minorHAnsi"/>
          <w:lang w:val="en"/>
        </w:rPr>
        <w:t>influences</w:t>
      </w:r>
      <w:r w:rsidRPr="004E02D7">
        <w:rPr>
          <w:rFonts w:cstheme="minorHAnsi"/>
          <w:lang w:val="en"/>
        </w:rPr>
        <w:t xml:space="preserve"> prosta</w:t>
      </w:r>
      <w:r w:rsidR="00935C4E">
        <w:rPr>
          <w:rFonts w:cstheme="minorHAnsi"/>
          <w:lang w:val="en"/>
        </w:rPr>
        <w:t>glandin (pgf2α) levels (</w:t>
      </w:r>
      <w:r w:rsidR="00727CAC">
        <w:rPr>
          <w:rFonts w:cstheme="minorHAnsi"/>
          <w:lang w:val="en"/>
        </w:rPr>
        <w:t>T</w:t>
      </w:r>
      <w:r w:rsidR="00935C4E">
        <w:rPr>
          <w:rFonts w:cstheme="minorHAnsi"/>
          <w:lang w:val="en"/>
        </w:rPr>
        <w:t xml:space="preserve">able </w:t>
      </w:r>
      <w:r w:rsidRPr="004E02D7">
        <w:rPr>
          <w:rFonts w:cstheme="minorHAnsi"/>
          <w:lang w:val="en"/>
        </w:rPr>
        <w:t>5).</w:t>
      </w:r>
    </w:p>
    <w:p w14:paraId="2F8D0B5B" w14:textId="135DE9D8" w:rsidR="00EE5C0F" w:rsidRDefault="00EE5C0F" w:rsidP="00830BAD">
      <w:pPr>
        <w:pStyle w:val="ListParagraph"/>
        <w:tabs>
          <w:tab w:val="left" w:pos="0"/>
          <w:tab w:val="left" w:pos="142"/>
          <w:tab w:val="left" w:pos="426"/>
        </w:tabs>
        <w:suppressAutoHyphens/>
        <w:spacing w:after="0" w:line="240" w:lineRule="auto"/>
        <w:ind w:left="0"/>
        <w:jc w:val="both"/>
        <w:rPr>
          <w:rFonts w:asciiTheme="minorHAnsi" w:hAnsiTheme="minorHAnsi" w:cstheme="minorHAnsi"/>
          <w:b/>
          <w:color w:val="000000" w:themeColor="text1"/>
        </w:rPr>
      </w:pPr>
    </w:p>
    <w:tbl>
      <w:tblPr>
        <w:tblW w:w="8789" w:type="dxa"/>
        <w:jc w:val="center"/>
        <w:tblLayout w:type="fixed"/>
        <w:tblLook w:val="04A0" w:firstRow="1" w:lastRow="0" w:firstColumn="1" w:lastColumn="0" w:noHBand="0" w:noVBand="1"/>
      </w:tblPr>
      <w:tblGrid>
        <w:gridCol w:w="669"/>
        <w:gridCol w:w="1458"/>
        <w:gridCol w:w="851"/>
        <w:gridCol w:w="709"/>
        <w:gridCol w:w="992"/>
        <w:gridCol w:w="425"/>
        <w:gridCol w:w="992"/>
        <w:gridCol w:w="850"/>
        <w:gridCol w:w="992"/>
        <w:gridCol w:w="851"/>
      </w:tblGrid>
      <w:tr w:rsidR="00643818" w:rsidRPr="00830BAD" w14:paraId="0D7D7EF4" w14:textId="77777777" w:rsidTr="00C4384E">
        <w:trPr>
          <w:trHeight w:val="300"/>
          <w:jc w:val="center"/>
        </w:trPr>
        <w:tc>
          <w:tcPr>
            <w:tcW w:w="8789" w:type="dxa"/>
            <w:gridSpan w:val="10"/>
            <w:tcBorders>
              <w:top w:val="single" w:sz="4" w:space="0" w:color="auto"/>
              <w:left w:val="nil"/>
              <w:bottom w:val="single" w:sz="4" w:space="0" w:color="auto"/>
              <w:right w:val="nil"/>
            </w:tcBorders>
            <w:shd w:val="clear" w:color="auto" w:fill="auto"/>
            <w:noWrap/>
            <w:vAlign w:val="bottom"/>
            <w:hideMark/>
          </w:tcPr>
          <w:p w14:paraId="50F97800" w14:textId="4CD5B120" w:rsidR="00643818" w:rsidRPr="00830BAD" w:rsidRDefault="00E46BB7" w:rsidP="00830BAD">
            <w:pPr>
              <w:spacing w:after="0" w:line="240" w:lineRule="auto"/>
              <w:jc w:val="both"/>
              <w:rPr>
                <w:rFonts w:eastAsia="Times New Roman" w:cstheme="minorHAnsi"/>
                <w:color w:val="000000"/>
              </w:rPr>
            </w:pPr>
            <w:r>
              <w:rPr>
                <w:rFonts w:eastAsia="Times New Roman" w:cstheme="minorHAnsi"/>
                <w:b/>
                <w:color w:val="000000"/>
              </w:rPr>
              <w:t xml:space="preserve">Table </w:t>
            </w:r>
            <w:r w:rsidR="00155C26" w:rsidRPr="00830BAD">
              <w:rPr>
                <w:rFonts w:eastAsia="Times New Roman" w:cstheme="minorHAnsi"/>
                <w:b/>
                <w:color w:val="000000"/>
              </w:rPr>
              <w:t>6</w:t>
            </w:r>
            <w:r w:rsidR="00155C26" w:rsidRPr="00830BAD">
              <w:rPr>
                <w:rFonts w:eastAsia="Times New Roman" w:cstheme="minorHAnsi"/>
                <w:color w:val="000000"/>
              </w:rPr>
              <w:t xml:space="preserve"> Influence Analysis of Macronutrient Intake, Stress, Prostaglandin Levels (Pgf2α) with </w:t>
            </w:r>
            <w:r w:rsidR="00155C26" w:rsidRPr="00830BAD">
              <w:rPr>
                <w:rFonts w:eastAsia="Times New Roman" w:cstheme="minorHAnsi"/>
                <w:bCs/>
                <w:color w:val="000000"/>
              </w:rPr>
              <w:t>Dysmenorrhea</w:t>
            </w:r>
            <w:r w:rsidR="00155C26" w:rsidRPr="00830BAD">
              <w:rPr>
                <w:rFonts w:eastAsia="Times New Roman" w:cstheme="minorHAnsi"/>
                <w:color w:val="000000"/>
              </w:rPr>
              <w:t xml:space="preserve"> Incidence</w:t>
            </w:r>
            <w:r w:rsidR="00D07A09">
              <w:rPr>
                <w:rFonts w:eastAsia="Times New Roman" w:cstheme="minorHAnsi"/>
                <w:color w:val="000000"/>
              </w:rPr>
              <w:t>.</w:t>
            </w:r>
          </w:p>
        </w:tc>
      </w:tr>
      <w:tr w:rsidR="00643818" w:rsidRPr="00830BAD" w14:paraId="594713F2" w14:textId="77777777" w:rsidTr="00C4384E">
        <w:trPr>
          <w:trHeight w:val="300"/>
          <w:jc w:val="center"/>
        </w:trPr>
        <w:tc>
          <w:tcPr>
            <w:tcW w:w="2127" w:type="dxa"/>
            <w:gridSpan w:val="2"/>
            <w:vMerge w:val="restart"/>
            <w:tcBorders>
              <w:top w:val="nil"/>
              <w:left w:val="nil"/>
              <w:bottom w:val="nil"/>
              <w:right w:val="nil"/>
            </w:tcBorders>
            <w:shd w:val="clear" w:color="000000" w:fill="FFFFFF"/>
            <w:vAlign w:val="center"/>
            <w:hideMark/>
          </w:tcPr>
          <w:p w14:paraId="227C2026" w14:textId="77777777" w:rsidR="00643818" w:rsidRPr="00830BAD" w:rsidRDefault="00643818" w:rsidP="00830BAD">
            <w:pPr>
              <w:spacing w:after="0" w:line="240" w:lineRule="auto"/>
              <w:jc w:val="both"/>
              <w:rPr>
                <w:rFonts w:eastAsia="Times New Roman" w:cstheme="minorHAnsi"/>
                <w:b/>
                <w:bCs/>
                <w:color w:val="000000"/>
              </w:rPr>
            </w:pPr>
            <w:r w:rsidRPr="00830BAD">
              <w:rPr>
                <w:rFonts w:eastAsia="Times New Roman" w:cstheme="minorHAnsi"/>
                <w:b/>
                <w:bCs/>
                <w:color w:val="000000"/>
              </w:rPr>
              <w:t> </w:t>
            </w:r>
          </w:p>
        </w:tc>
        <w:tc>
          <w:tcPr>
            <w:tcW w:w="851" w:type="dxa"/>
            <w:vMerge w:val="restart"/>
            <w:tcBorders>
              <w:top w:val="nil"/>
              <w:left w:val="nil"/>
              <w:bottom w:val="nil"/>
              <w:right w:val="nil"/>
            </w:tcBorders>
            <w:shd w:val="clear" w:color="000000" w:fill="FFFFFF"/>
            <w:vAlign w:val="center"/>
            <w:hideMark/>
          </w:tcPr>
          <w:p w14:paraId="0EEA0C8D" w14:textId="77777777" w:rsidR="00643818" w:rsidRPr="00830BAD" w:rsidRDefault="00643818" w:rsidP="00830BAD">
            <w:pPr>
              <w:spacing w:after="0" w:line="240" w:lineRule="auto"/>
              <w:jc w:val="both"/>
              <w:rPr>
                <w:rFonts w:eastAsia="Times New Roman" w:cstheme="minorHAnsi"/>
                <w:b/>
                <w:bCs/>
                <w:color w:val="000000"/>
              </w:rPr>
            </w:pPr>
            <w:r w:rsidRPr="00830BAD">
              <w:rPr>
                <w:rFonts w:eastAsia="Times New Roman" w:cstheme="minorHAnsi"/>
                <w:b/>
                <w:bCs/>
                <w:color w:val="000000"/>
              </w:rPr>
              <w:t>B</w:t>
            </w:r>
          </w:p>
        </w:tc>
        <w:tc>
          <w:tcPr>
            <w:tcW w:w="709" w:type="dxa"/>
            <w:vMerge w:val="restart"/>
            <w:tcBorders>
              <w:top w:val="nil"/>
              <w:left w:val="nil"/>
              <w:bottom w:val="nil"/>
              <w:right w:val="nil"/>
            </w:tcBorders>
            <w:shd w:val="clear" w:color="000000" w:fill="FFFFFF"/>
            <w:vAlign w:val="center"/>
            <w:hideMark/>
          </w:tcPr>
          <w:p w14:paraId="43F04049" w14:textId="77777777" w:rsidR="00643818" w:rsidRPr="00830BAD" w:rsidRDefault="00643818" w:rsidP="00830BAD">
            <w:pPr>
              <w:spacing w:after="0" w:line="240" w:lineRule="auto"/>
              <w:jc w:val="both"/>
              <w:rPr>
                <w:rFonts w:eastAsia="Times New Roman" w:cstheme="minorHAnsi"/>
                <w:b/>
                <w:bCs/>
                <w:color w:val="000000"/>
              </w:rPr>
            </w:pPr>
            <w:r w:rsidRPr="00830BAD">
              <w:rPr>
                <w:rFonts w:eastAsia="Times New Roman" w:cstheme="minorHAnsi"/>
                <w:b/>
                <w:bCs/>
                <w:color w:val="000000"/>
              </w:rPr>
              <w:t>S.E.</w:t>
            </w:r>
          </w:p>
        </w:tc>
        <w:tc>
          <w:tcPr>
            <w:tcW w:w="992" w:type="dxa"/>
            <w:vMerge w:val="restart"/>
            <w:tcBorders>
              <w:top w:val="nil"/>
              <w:left w:val="nil"/>
              <w:bottom w:val="nil"/>
              <w:right w:val="nil"/>
            </w:tcBorders>
            <w:shd w:val="clear" w:color="000000" w:fill="FFFFFF"/>
            <w:vAlign w:val="center"/>
            <w:hideMark/>
          </w:tcPr>
          <w:p w14:paraId="72DEF9CC" w14:textId="77777777" w:rsidR="00643818" w:rsidRPr="00830BAD" w:rsidRDefault="00643818" w:rsidP="00830BAD">
            <w:pPr>
              <w:spacing w:after="0" w:line="240" w:lineRule="auto"/>
              <w:jc w:val="both"/>
              <w:rPr>
                <w:rFonts w:eastAsia="Times New Roman" w:cstheme="minorHAnsi"/>
                <w:b/>
                <w:bCs/>
                <w:color w:val="000000"/>
              </w:rPr>
            </w:pPr>
            <w:r w:rsidRPr="00830BAD">
              <w:rPr>
                <w:rFonts w:eastAsia="Times New Roman" w:cstheme="minorHAnsi"/>
                <w:b/>
                <w:bCs/>
                <w:color w:val="000000"/>
              </w:rPr>
              <w:t>Wald</w:t>
            </w:r>
          </w:p>
        </w:tc>
        <w:tc>
          <w:tcPr>
            <w:tcW w:w="425" w:type="dxa"/>
            <w:vMerge w:val="restart"/>
            <w:tcBorders>
              <w:top w:val="nil"/>
              <w:left w:val="nil"/>
              <w:bottom w:val="nil"/>
              <w:right w:val="nil"/>
            </w:tcBorders>
            <w:shd w:val="clear" w:color="000000" w:fill="FFFFFF"/>
            <w:vAlign w:val="center"/>
            <w:hideMark/>
          </w:tcPr>
          <w:p w14:paraId="6F21F9AC" w14:textId="77777777" w:rsidR="00643818" w:rsidRPr="00830BAD" w:rsidRDefault="00643818" w:rsidP="00830BAD">
            <w:pPr>
              <w:spacing w:after="0" w:line="240" w:lineRule="auto"/>
              <w:jc w:val="both"/>
              <w:rPr>
                <w:rFonts w:eastAsia="Times New Roman" w:cstheme="minorHAnsi"/>
                <w:b/>
                <w:bCs/>
                <w:color w:val="000000"/>
              </w:rPr>
            </w:pPr>
            <w:r w:rsidRPr="00830BAD">
              <w:rPr>
                <w:rFonts w:eastAsia="Times New Roman" w:cstheme="minorHAnsi"/>
                <w:b/>
                <w:bCs/>
                <w:color w:val="000000"/>
              </w:rPr>
              <w:t>df</w:t>
            </w:r>
          </w:p>
        </w:tc>
        <w:tc>
          <w:tcPr>
            <w:tcW w:w="992" w:type="dxa"/>
            <w:vMerge w:val="restart"/>
            <w:tcBorders>
              <w:top w:val="nil"/>
              <w:left w:val="nil"/>
              <w:bottom w:val="nil"/>
              <w:right w:val="nil"/>
            </w:tcBorders>
            <w:shd w:val="clear" w:color="000000" w:fill="FFFFFF"/>
            <w:vAlign w:val="center"/>
            <w:hideMark/>
          </w:tcPr>
          <w:p w14:paraId="0574315A" w14:textId="1F1F6B23" w:rsidR="00643818" w:rsidRPr="00830BAD" w:rsidRDefault="00643818" w:rsidP="00830BAD">
            <w:pPr>
              <w:spacing w:after="0" w:line="240" w:lineRule="auto"/>
              <w:jc w:val="both"/>
              <w:rPr>
                <w:rFonts w:eastAsia="Times New Roman" w:cstheme="minorHAnsi"/>
                <w:b/>
                <w:bCs/>
                <w:color w:val="000000"/>
              </w:rPr>
            </w:pPr>
            <w:r w:rsidRPr="00830BAD">
              <w:rPr>
                <w:rFonts w:eastAsia="Times New Roman" w:cstheme="minorHAnsi"/>
                <w:b/>
                <w:bCs/>
                <w:color w:val="000000"/>
              </w:rPr>
              <w:t>p</w:t>
            </w:r>
            <w:r w:rsidR="00D07A09">
              <w:rPr>
                <w:rFonts w:eastAsia="Times New Roman" w:cstheme="minorHAnsi"/>
                <w:b/>
                <w:bCs/>
                <w:color w:val="000000"/>
              </w:rPr>
              <w:t>-Value</w:t>
            </w:r>
          </w:p>
        </w:tc>
        <w:tc>
          <w:tcPr>
            <w:tcW w:w="850" w:type="dxa"/>
            <w:vMerge w:val="restart"/>
            <w:tcBorders>
              <w:top w:val="nil"/>
              <w:left w:val="nil"/>
              <w:bottom w:val="nil"/>
              <w:right w:val="nil"/>
            </w:tcBorders>
            <w:shd w:val="clear" w:color="000000" w:fill="FFFFFF"/>
            <w:vAlign w:val="center"/>
            <w:hideMark/>
          </w:tcPr>
          <w:p w14:paraId="5595F288" w14:textId="77777777" w:rsidR="00643818" w:rsidRPr="00830BAD" w:rsidRDefault="00643818" w:rsidP="00830BAD">
            <w:pPr>
              <w:spacing w:after="0" w:line="240" w:lineRule="auto"/>
              <w:jc w:val="both"/>
              <w:rPr>
                <w:rFonts w:eastAsia="Times New Roman" w:cstheme="minorHAnsi"/>
                <w:b/>
                <w:bCs/>
                <w:color w:val="000000"/>
              </w:rPr>
            </w:pPr>
            <w:r w:rsidRPr="00830BAD">
              <w:rPr>
                <w:rFonts w:eastAsia="Times New Roman" w:cstheme="minorHAnsi"/>
                <w:b/>
                <w:bCs/>
                <w:color w:val="000000"/>
              </w:rPr>
              <w:t>OR</w:t>
            </w:r>
          </w:p>
        </w:tc>
        <w:tc>
          <w:tcPr>
            <w:tcW w:w="1843" w:type="dxa"/>
            <w:gridSpan w:val="2"/>
            <w:tcBorders>
              <w:top w:val="nil"/>
              <w:left w:val="nil"/>
              <w:bottom w:val="nil"/>
              <w:right w:val="nil"/>
            </w:tcBorders>
            <w:shd w:val="clear" w:color="000000" w:fill="FFFFFF"/>
            <w:vAlign w:val="center"/>
            <w:hideMark/>
          </w:tcPr>
          <w:p w14:paraId="74862505" w14:textId="77777777" w:rsidR="00643818" w:rsidRPr="00830BAD" w:rsidRDefault="00643818" w:rsidP="00830BAD">
            <w:pPr>
              <w:spacing w:after="0" w:line="240" w:lineRule="auto"/>
              <w:jc w:val="both"/>
              <w:rPr>
                <w:rFonts w:eastAsia="Times New Roman" w:cstheme="minorHAnsi"/>
                <w:b/>
                <w:bCs/>
                <w:color w:val="000000"/>
              </w:rPr>
            </w:pPr>
            <w:r w:rsidRPr="00830BAD">
              <w:rPr>
                <w:rFonts w:eastAsia="Times New Roman" w:cstheme="minorHAnsi"/>
                <w:b/>
                <w:bCs/>
                <w:color w:val="000000"/>
              </w:rPr>
              <w:t>95% C.I.for OR</w:t>
            </w:r>
          </w:p>
        </w:tc>
      </w:tr>
      <w:tr w:rsidR="00643818" w:rsidRPr="00830BAD" w14:paraId="64A574DE" w14:textId="77777777" w:rsidTr="00C4384E">
        <w:trPr>
          <w:trHeight w:val="300"/>
          <w:jc w:val="center"/>
        </w:trPr>
        <w:tc>
          <w:tcPr>
            <w:tcW w:w="2127" w:type="dxa"/>
            <w:gridSpan w:val="2"/>
            <w:vMerge/>
            <w:tcBorders>
              <w:top w:val="nil"/>
              <w:left w:val="nil"/>
              <w:bottom w:val="nil"/>
              <w:right w:val="nil"/>
            </w:tcBorders>
            <w:vAlign w:val="center"/>
            <w:hideMark/>
          </w:tcPr>
          <w:p w14:paraId="16D510BF" w14:textId="77777777" w:rsidR="00643818" w:rsidRPr="00830BAD" w:rsidRDefault="00643818" w:rsidP="00830BAD">
            <w:pPr>
              <w:spacing w:after="0" w:line="240" w:lineRule="auto"/>
              <w:jc w:val="both"/>
              <w:rPr>
                <w:rFonts w:eastAsia="Times New Roman" w:cstheme="minorHAnsi"/>
                <w:b/>
                <w:bCs/>
                <w:color w:val="000000"/>
              </w:rPr>
            </w:pPr>
          </w:p>
        </w:tc>
        <w:tc>
          <w:tcPr>
            <w:tcW w:w="851" w:type="dxa"/>
            <w:vMerge/>
            <w:tcBorders>
              <w:top w:val="nil"/>
              <w:left w:val="nil"/>
              <w:bottom w:val="nil"/>
              <w:right w:val="nil"/>
            </w:tcBorders>
            <w:vAlign w:val="center"/>
            <w:hideMark/>
          </w:tcPr>
          <w:p w14:paraId="06F01D19" w14:textId="77777777" w:rsidR="00643818" w:rsidRPr="00830BAD" w:rsidRDefault="00643818" w:rsidP="00830BAD">
            <w:pPr>
              <w:spacing w:after="0" w:line="240" w:lineRule="auto"/>
              <w:jc w:val="both"/>
              <w:rPr>
                <w:rFonts w:eastAsia="Times New Roman" w:cstheme="minorHAnsi"/>
                <w:b/>
                <w:bCs/>
                <w:color w:val="000000"/>
              </w:rPr>
            </w:pPr>
          </w:p>
        </w:tc>
        <w:tc>
          <w:tcPr>
            <w:tcW w:w="709" w:type="dxa"/>
            <w:vMerge/>
            <w:tcBorders>
              <w:top w:val="nil"/>
              <w:left w:val="nil"/>
              <w:bottom w:val="nil"/>
              <w:right w:val="nil"/>
            </w:tcBorders>
            <w:vAlign w:val="center"/>
            <w:hideMark/>
          </w:tcPr>
          <w:p w14:paraId="4498F3EA" w14:textId="77777777" w:rsidR="00643818" w:rsidRPr="00830BAD" w:rsidRDefault="00643818" w:rsidP="00830BAD">
            <w:pPr>
              <w:spacing w:after="0" w:line="240" w:lineRule="auto"/>
              <w:jc w:val="both"/>
              <w:rPr>
                <w:rFonts w:eastAsia="Times New Roman" w:cstheme="minorHAnsi"/>
                <w:b/>
                <w:bCs/>
                <w:color w:val="000000"/>
              </w:rPr>
            </w:pPr>
          </w:p>
        </w:tc>
        <w:tc>
          <w:tcPr>
            <w:tcW w:w="992" w:type="dxa"/>
            <w:vMerge/>
            <w:tcBorders>
              <w:top w:val="nil"/>
              <w:left w:val="nil"/>
              <w:bottom w:val="nil"/>
              <w:right w:val="nil"/>
            </w:tcBorders>
            <w:vAlign w:val="center"/>
            <w:hideMark/>
          </w:tcPr>
          <w:p w14:paraId="3AD23BD0" w14:textId="77777777" w:rsidR="00643818" w:rsidRPr="00830BAD" w:rsidRDefault="00643818" w:rsidP="00830BAD">
            <w:pPr>
              <w:spacing w:after="0" w:line="240" w:lineRule="auto"/>
              <w:jc w:val="both"/>
              <w:rPr>
                <w:rFonts w:eastAsia="Times New Roman" w:cstheme="minorHAnsi"/>
                <w:b/>
                <w:bCs/>
                <w:color w:val="000000"/>
              </w:rPr>
            </w:pPr>
          </w:p>
        </w:tc>
        <w:tc>
          <w:tcPr>
            <w:tcW w:w="425" w:type="dxa"/>
            <w:vMerge/>
            <w:tcBorders>
              <w:top w:val="nil"/>
              <w:left w:val="nil"/>
              <w:bottom w:val="nil"/>
              <w:right w:val="nil"/>
            </w:tcBorders>
            <w:vAlign w:val="center"/>
            <w:hideMark/>
          </w:tcPr>
          <w:p w14:paraId="2E4D724E" w14:textId="77777777" w:rsidR="00643818" w:rsidRPr="00830BAD" w:rsidRDefault="00643818" w:rsidP="00830BAD">
            <w:pPr>
              <w:spacing w:after="0" w:line="240" w:lineRule="auto"/>
              <w:jc w:val="both"/>
              <w:rPr>
                <w:rFonts w:eastAsia="Times New Roman" w:cstheme="minorHAnsi"/>
                <w:b/>
                <w:bCs/>
                <w:color w:val="000000"/>
              </w:rPr>
            </w:pPr>
          </w:p>
        </w:tc>
        <w:tc>
          <w:tcPr>
            <w:tcW w:w="992" w:type="dxa"/>
            <w:vMerge/>
            <w:tcBorders>
              <w:top w:val="nil"/>
              <w:left w:val="nil"/>
              <w:bottom w:val="nil"/>
              <w:right w:val="nil"/>
            </w:tcBorders>
            <w:vAlign w:val="center"/>
            <w:hideMark/>
          </w:tcPr>
          <w:p w14:paraId="6C26E8B5" w14:textId="77777777" w:rsidR="00643818" w:rsidRPr="00830BAD" w:rsidRDefault="00643818" w:rsidP="00830BAD">
            <w:pPr>
              <w:spacing w:after="0" w:line="240" w:lineRule="auto"/>
              <w:jc w:val="both"/>
              <w:rPr>
                <w:rFonts w:eastAsia="Times New Roman" w:cstheme="minorHAnsi"/>
                <w:b/>
                <w:bCs/>
                <w:color w:val="000000"/>
              </w:rPr>
            </w:pPr>
          </w:p>
        </w:tc>
        <w:tc>
          <w:tcPr>
            <w:tcW w:w="850" w:type="dxa"/>
            <w:vMerge/>
            <w:tcBorders>
              <w:top w:val="nil"/>
              <w:left w:val="nil"/>
              <w:bottom w:val="nil"/>
              <w:right w:val="nil"/>
            </w:tcBorders>
            <w:vAlign w:val="center"/>
            <w:hideMark/>
          </w:tcPr>
          <w:p w14:paraId="2BBA67CF" w14:textId="77777777" w:rsidR="00643818" w:rsidRPr="00830BAD" w:rsidRDefault="00643818" w:rsidP="00830BAD">
            <w:pPr>
              <w:spacing w:after="0" w:line="240" w:lineRule="auto"/>
              <w:jc w:val="both"/>
              <w:rPr>
                <w:rFonts w:eastAsia="Times New Roman" w:cstheme="minorHAnsi"/>
                <w:b/>
                <w:bCs/>
                <w:color w:val="000000"/>
              </w:rPr>
            </w:pPr>
          </w:p>
        </w:tc>
        <w:tc>
          <w:tcPr>
            <w:tcW w:w="992" w:type="dxa"/>
            <w:tcBorders>
              <w:top w:val="nil"/>
              <w:left w:val="nil"/>
              <w:bottom w:val="nil"/>
              <w:right w:val="nil"/>
            </w:tcBorders>
            <w:shd w:val="clear" w:color="000000" w:fill="FFFFFF"/>
            <w:vAlign w:val="center"/>
            <w:hideMark/>
          </w:tcPr>
          <w:p w14:paraId="292D3403" w14:textId="77777777" w:rsidR="00643818" w:rsidRPr="00830BAD" w:rsidRDefault="00643818" w:rsidP="00DE3D93">
            <w:pPr>
              <w:spacing w:after="0" w:line="240" w:lineRule="auto"/>
              <w:jc w:val="center"/>
              <w:rPr>
                <w:rFonts w:eastAsia="Times New Roman" w:cstheme="minorHAnsi"/>
                <w:b/>
                <w:bCs/>
                <w:color w:val="000000"/>
              </w:rPr>
            </w:pPr>
            <w:r w:rsidRPr="00830BAD">
              <w:rPr>
                <w:rFonts w:eastAsia="Times New Roman" w:cstheme="minorHAnsi"/>
                <w:b/>
                <w:bCs/>
                <w:color w:val="000000"/>
              </w:rPr>
              <w:t>Lower</w:t>
            </w:r>
          </w:p>
        </w:tc>
        <w:tc>
          <w:tcPr>
            <w:tcW w:w="851" w:type="dxa"/>
            <w:tcBorders>
              <w:top w:val="nil"/>
              <w:left w:val="nil"/>
              <w:bottom w:val="nil"/>
              <w:right w:val="nil"/>
            </w:tcBorders>
            <w:shd w:val="clear" w:color="000000" w:fill="FFFFFF"/>
            <w:vAlign w:val="center"/>
            <w:hideMark/>
          </w:tcPr>
          <w:p w14:paraId="46311954" w14:textId="77777777" w:rsidR="00643818" w:rsidRPr="00830BAD" w:rsidRDefault="00643818" w:rsidP="00DE3D93">
            <w:pPr>
              <w:spacing w:after="0" w:line="240" w:lineRule="auto"/>
              <w:jc w:val="center"/>
              <w:rPr>
                <w:rFonts w:eastAsia="Times New Roman" w:cstheme="minorHAnsi"/>
                <w:b/>
                <w:bCs/>
                <w:color w:val="000000"/>
              </w:rPr>
            </w:pPr>
            <w:r w:rsidRPr="00830BAD">
              <w:rPr>
                <w:rFonts w:eastAsia="Times New Roman" w:cstheme="minorHAnsi"/>
                <w:b/>
                <w:bCs/>
                <w:color w:val="000000"/>
              </w:rPr>
              <w:t>Upper</w:t>
            </w:r>
          </w:p>
        </w:tc>
      </w:tr>
      <w:tr w:rsidR="00643818" w:rsidRPr="00830BAD" w14:paraId="625A054A" w14:textId="77777777" w:rsidTr="00C4384E">
        <w:trPr>
          <w:trHeight w:val="300"/>
          <w:jc w:val="center"/>
        </w:trPr>
        <w:tc>
          <w:tcPr>
            <w:tcW w:w="669" w:type="dxa"/>
            <w:vMerge w:val="restart"/>
            <w:tcBorders>
              <w:top w:val="single" w:sz="4" w:space="0" w:color="auto"/>
              <w:left w:val="nil"/>
              <w:bottom w:val="single" w:sz="4" w:space="0" w:color="000000"/>
              <w:right w:val="nil"/>
            </w:tcBorders>
            <w:shd w:val="clear" w:color="000000" w:fill="FFFFFF"/>
            <w:vAlign w:val="center"/>
            <w:hideMark/>
          </w:tcPr>
          <w:p w14:paraId="3A81622F" w14:textId="77777777" w:rsidR="00643818" w:rsidRPr="00830BAD" w:rsidRDefault="00643818" w:rsidP="00830BAD">
            <w:pPr>
              <w:spacing w:after="0" w:line="240" w:lineRule="auto"/>
              <w:jc w:val="both"/>
              <w:rPr>
                <w:rFonts w:eastAsia="Times New Roman" w:cstheme="minorHAnsi"/>
                <w:color w:val="000000"/>
              </w:rPr>
            </w:pPr>
            <w:r w:rsidRPr="00830BAD">
              <w:rPr>
                <w:rFonts w:eastAsia="Times New Roman" w:cstheme="minorHAnsi"/>
                <w:color w:val="000000"/>
              </w:rPr>
              <w:t>Step 1</w:t>
            </w:r>
            <w:r w:rsidRPr="00830BAD">
              <w:rPr>
                <w:rFonts w:eastAsia="Times New Roman" w:cstheme="minorHAnsi"/>
                <w:color w:val="000000"/>
                <w:vertAlign w:val="superscript"/>
              </w:rPr>
              <w:t>a</w:t>
            </w:r>
          </w:p>
        </w:tc>
        <w:tc>
          <w:tcPr>
            <w:tcW w:w="1458" w:type="dxa"/>
            <w:tcBorders>
              <w:top w:val="single" w:sz="4" w:space="0" w:color="auto"/>
              <w:left w:val="nil"/>
              <w:bottom w:val="nil"/>
              <w:right w:val="nil"/>
            </w:tcBorders>
            <w:shd w:val="clear" w:color="000000" w:fill="FFFFFF"/>
            <w:vAlign w:val="center"/>
            <w:hideMark/>
          </w:tcPr>
          <w:p w14:paraId="10A07061" w14:textId="2C2C01CC" w:rsidR="00643818" w:rsidRPr="00830BAD" w:rsidRDefault="00643818" w:rsidP="00830BAD">
            <w:pPr>
              <w:spacing w:after="0" w:line="240" w:lineRule="auto"/>
              <w:jc w:val="both"/>
              <w:rPr>
                <w:rFonts w:eastAsia="Times New Roman" w:cstheme="minorHAnsi"/>
                <w:color w:val="000000"/>
              </w:rPr>
            </w:pPr>
            <w:r w:rsidRPr="00830BAD">
              <w:rPr>
                <w:rFonts w:eastAsia="Times New Roman" w:cstheme="minorHAnsi"/>
                <w:color w:val="000000"/>
              </w:rPr>
              <w:t>Stres</w:t>
            </w:r>
            <w:r w:rsidR="00C465DA">
              <w:rPr>
                <w:rFonts w:eastAsia="Times New Roman" w:cstheme="minorHAnsi"/>
                <w:color w:val="000000"/>
              </w:rPr>
              <w:t>s</w:t>
            </w:r>
          </w:p>
        </w:tc>
        <w:tc>
          <w:tcPr>
            <w:tcW w:w="851" w:type="dxa"/>
            <w:tcBorders>
              <w:top w:val="single" w:sz="4" w:space="0" w:color="auto"/>
              <w:left w:val="nil"/>
              <w:bottom w:val="nil"/>
              <w:right w:val="nil"/>
            </w:tcBorders>
            <w:shd w:val="clear" w:color="000000" w:fill="FFFFFF"/>
            <w:noWrap/>
            <w:vAlign w:val="center"/>
            <w:hideMark/>
          </w:tcPr>
          <w:p w14:paraId="760401C4" w14:textId="77777777" w:rsidR="00643818" w:rsidRPr="00830BAD" w:rsidRDefault="00643818" w:rsidP="00830BAD">
            <w:pPr>
              <w:spacing w:after="0" w:line="240" w:lineRule="auto"/>
              <w:jc w:val="both"/>
              <w:rPr>
                <w:rFonts w:eastAsia="Times New Roman" w:cstheme="minorHAnsi"/>
                <w:color w:val="000000"/>
              </w:rPr>
            </w:pPr>
            <w:r w:rsidRPr="00830BAD">
              <w:rPr>
                <w:rFonts w:eastAsia="Times New Roman" w:cstheme="minorHAnsi"/>
                <w:color w:val="000000"/>
              </w:rPr>
              <w:t>1.489</w:t>
            </w:r>
          </w:p>
        </w:tc>
        <w:tc>
          <w:tcPr>
            <w:tcW w:w="709" w:type="dxa"/>
            <w:tcBorders>
              <w:top w:val="single" w:sz="4" w:space="0" w:color="auto"/>
              <w:left w:val="nil"/>
              <w:bottom w:val="nil"/>
              <w:right w:val="nil"/>
            </w:tcBorders>
            <w:shd w:val="clear" w:color="000000" w:fill="FFFFFF"/>
            <w:noWrap/>
            <w:vAlign w:val="center"/>
            <w:hideMark/>
          </w:tcPr>
          <w:p w14:paraId="12C4B5D1" w14:textId="77777777" w:rsidR="00643818" w:rsidRPr="00830BAD" w:rsidRDefault="00643818" w:rsidP="00830BAD">
            <w:pPr>
              <w:spacing w:after="0" w:line="240" w:lineRule="auto"/>
              <w:jc w:val="both"/>
              <w:rPr>
                <w:rFonts w:eastAsia="Times New Roman" w:cstheme="minorHAnsi"/>
                <w:color w:val="000000"/>
              </w:rPr>
            </w:pPr>
            <w:r w:rsidRPr="00830BAD">
              <w:rPr>
                <w:rFonts w:eastAsia="Times New Roman" w:cstheme="minorHAnsi"/>
                <w:color w:val="000000"/>
              </w:rPr>
              <w:t>0.4</w:t>
            </w:r>
          </w:p>
        </w:tc>
        <w:tc>
          <w:tcPr>
            <w:tcW w:w="992" w:type="dxa"/>
            <w:tcBorders>
              <w:top w:val="single" w:sz="4" w:space="0" w:color="auto"/>
              <w:left w:val="nil"/>
              <w:bottom w:val="nil"/>
              <w:right w:val="nil"/>
            </w:tcBorders>
            <w:shd w:val="clear" w:color="000000" w:fill="FFFFFF"/>
            <w:noWrap/>
            <w:vAlign w:val="center"/>
            <w:hideMark/>
          </w:tcPr>
          <w:p w14:paraId="1F7FBEE9" w14:textId="77777777" w:rsidR="00643818" w:rsidRPr="00830BAD" w:rsidRDefault="00643818" w:rsidP="00830BAD">
            <w:pPr>
              <w:spacing w:after="0" w:line="240" w:lineRule="auto"/>
              <w:jc w:val="both"/>
              <w:rPr>
                <w:rFonts w:eastAsia="Times New Roman" w:cstheme="minorHAnsi"/>
                <w:color w:val="000000"/>
              </w:rPr>
            </w:pPr>
            <w:r w:rsidRPr="00830BAD">
              <w:rPr>
                <w:rFonts w:eastAsia="Times New Roman" w:cstheme="minorHAnsi"/>
                <w:color w:val="000000"/>
              </w:rPr>
              <w:t>13.818</w:t>
            </w:r>
          </w:p>
        </w:tc>
        <w:tc>
          <w:tcPr>
            <w:tcW w:w="425" w:type="dxa"/>
            <w:tcBorders>
              <w:top w:val="single" w:sz="4" w:space="0" w:color="auto"/>
              <w:left w:val="nil"/>
              <w:bottom w:val="nil"/>
              <w:right w:val="nil"/>
            </w:tcBorders>
            <w:shd w:val="clear" w:color="000000" w:fill="FFFFFF"/>
            <w:noWrap/>
            <w:vAlign w:val="center"/>
            <w:hideMark/>
          </w:tcPr>
          <w:p w14:paraId="02CBBC07" w14:textId="77777777" w:rsidR="00643818" w:rsidRPr="00830BAD" w:rsidRDefault="00643818" w:rsidP="00830BAD">
            <w:pPr>
              <w:spacing w:after="0" w:line="240" w:lineRule="auto"/>
              <w:jc w:val="both"/>
              <w:rPr>
                <w:rFonts w:eastAsia="Times New Roman" w:cstheme="minorHAnsi"/>
                <w:color w:val="000000"/>
              </w:rPr>
            </w:pPr>
            <w:r w:rsidRPr="00830BAD">
              <w:rPr>
                <w:rFonts w:eastAsia="Times New Roman" w:cstheme="minorHAnsi"/>
                <w:color w:val="000000"/>
              </w:rPr>
              <w:t>1</w:t>
            </w:r>
          </w:p>
        </w:tc>
        <w:tc>
          <w:tcPr>
            <w:tcW w:w="992" w:type="dxa"/>
            <w:tcBorders>
              <w:top w:val="single" w:sz="4" w:space="0" w:color="auto"/>
              <w:left w:val="nil"/>
              <w:bottom w:val="nil"/>
              <w:right w:val="nil"/>
            </w:tcBorders>
            <w:shd w:val="clear" w:color="000000" w:fill="FFFFFF"/>
            <w:noWrap/>
            <w:vAlign w:val="center"/>
            <w:hideMark/>
          </w:tcPr>
          <w:p w14:paraId="5CF901AD" w14:textId="77777777" w:rsidR="00643818" w:rsidRPr="00830BAD" w:rsidRDefault="00643818" w:rsidP="00830BAD">
            <w:pPr>
              <w:spacing w:after="0" w:line="240" w:lineRule="auto"/>
              <w:jc w:val="both"/>
              <w:rPr>
                <w:rFonts w:eastAsia="Times New Roman" w:cstheme="minorHAnsi"/>
                <w:color w:val="000000"/>
              </w:rPr>
            </w:pPr>
            <w:r w:rsidRPr="00830BAD">
              <w:rPr>
                <w:rFonts w:eastAsia="Times New Roman" w:cstheme="minorHAnsi"/>
                <w:color w:val="000000"/>
              </w:rPr>
              <w:t>0.000</w:t>
            </w:r>
          </w:p>
        </w:tc>
        <w:tc>
          <w:tcPr>
            <w:tcW w:w="850" w:type="dxa"/>
            <w:tcBorders>
              <w:top w:val="single" w:sz="4" w:space="0" w:color="auto"/>
              <w:left w:val="nil"/>
              <w:bottom w:val="nil"/>
              <w:right w:val="nil"/>
            </w:tcBorders>
            <w:shd w:val="clear" w:color="000000" w:fill="FFFFFF"/>
            <w:noWrap/>
            <w:vAlign w:val="center"/>
            <w:hideMark/>
          </w:tcPr>
          <w:p w14:paraId="57C23F56" w14:textId="77777777" w:rsidR="00643818" w:rsidRPr="00830BAD" w:rsidRDefault="00643818" w:rsidP="00830BAD">
            <w:pPr>
              <w:spacing w:after="0" w:line="240" w:lineRule="auto"/>
              <w:jc w:val="both"/>
              <w:rPr>
                <w:rFonts w:eastAsia="Times New Roman" w:cstheme="minorHAnsi"/>
                <w:color w:val="000000"/>
              </w:rPr>
            </w:pPr>
            <w:r w:rsidRPr="00830BAD">
              <w:rPr>
                <w:rFonts w:eastAsia="Times New Roman" w:cstheme="minorHAnsi"/>
                <w:color w:val="000000"/>
              </w:rPr>
              <w:t>4.431</w:t>
            </w:r>
          </w:p>
        </w:tc>
        <w:tc>
          <w:tcPr>
            <w:tcW w:w="992" w:type="dxa"/>
            <w:tcBorders>
              <w:top w:val="single" w:sz="4" w:space="0" w:color="auto"/>
              <w:left w:val="nil"/>
              <w:bottom w:val="nil"/>
              <w:right w:val="nil"/>
            </w:tcBorders>
            <w:shd w:val="clear" w:color="000000" w:fill="FFFFFF"/>
            <w:noWrap/>
            <w:vAlign w:val="center"/>
            <w:hideMark/>
          </w:tcPr>
          <w:p w14:paraId="5204AFE4" w14:textId="77777777" w:rsidR="00643818" w:rsidRPr="00830BAD" w:rsidRDefault="00643818" w:rsidP="00830BAD">
            <w:pPr>
              <w:spacing w:after="0" w:line="240" w:lineRule="auto"/>
              <w:jc w:val="both"/>
              <w:rPr>
                <w:rFonts w:eastAsia="Times New Roman" w:cstheme="minorHAnsi"/>
                <w:color w:val="000000"/>
              </w:rPr>
            </w:pPr>
            <w:r w:rsidRPr="00830BAD">
              <w:rPr>
                <w:rFonts w:eastAsia="Times New Roman" w:cstheme="minorHAnsi"/>
                <w:color w:val="000000"/>
              </w:rPr>
              <w:t>2.021</w:t>
            </w:r>
          </w:p>
        </w:tc>
        <w:tc>
          <w:tcPr>
            <w:tcW w:w="851" w:type="dxa"/>
            <w:tcBorders>
              <w:top w:val="single" w:sz="4" w:space="0" w:color="auto"/>
              <w:left w:val="nil"/>
              <w:bottom w:val="nil"/>
              <w:right w:val="nil"/>
            </w:tcBorders>
            <w:shd w:val="clear" w:color="000000" w:fill="FFFFFF"/>
            <w:noWrap/>
            <w:vAlign w:val="center"/>
            <w:hideMark/>
          </w:tcPr>
          <w:p w14:paraId="18DC9C04" w14:textId="77777777" w:rsidR="00643818" w:rsidRPr="00830BAD" w:rsidRDefault="00643818" w:rsidP="00830BAD">
            <w:pPr>
              <w:spacing w:after="0" w:line="240" w:lineRule="auto"/>
              <w:jc w:val="both"/>
              <w:rPr>
                <w:rFonts w:eastAsia="Times New Roman" w:cstheme="minorHAnsi"/>
                <w:color w:val="000000"/>
              </w:rPr>
            </w:pPr>
            <w:r w:rsidRPr="00830BAD">
              <w:rPr>
                <w:rFonts w:eastAsia="Times New Roman" w:cstheme="minorHAnsi"/>
                <w:color w:val="000000"/>
              </w:rPr>
              <w:t>9.713</w:t>
            </w:r>
          </w:p>
        </w:tc>
      </w:tr>
      <w:tr w:rsidR="00643818" w:rsidRPr="00830BAD" w14:paraId="18DEEAB6" w14:textId="77777777" w:rsidTr="00C4384E">
        <w:trPr>
          <w:trHeight w:val="570"/>
          <w:jc w:val="center"/>
        </w:trPr>
        <w:tc>
          <w:tcPr>
            <w:tcW w:w="669" w:type="dxa"/>
            <w:vMerge/>
            <w:tcBorders>
              <w:top w:val="single" w:sz="4" w:space="0" w:color="auto"/>
              <w:left w:val="nil"/>
              <w:bottom w:val="single" w:sz="4" w:space="0" w:color="000000"/>
              <w:right w:val="nil"/>
            </w:tcBorders>
            <w:vAlign w:val="center"/>
            <w:hideMark/>
          </w:tcPr>
          <w:p w14:paraId="3289DECC" w14:textId="77777777" w:rsidR="00643818" w:rsidRPr="00830BAD" w:rsidRDefault="00643818" w:rsidP="00830BAD">
            <w:pPr>
              <w:spacing w:after="0" w:line="240" w:lineRule="auto"/>
              <w:jc w:val="both"/>
              <w:rPr>
                <w:rFonts w:eastAsia="Times New Roman" w:cstheme="minorHAnsi"/>
                <w:color w:val="000000"/>
              </w:rPr>
            </w:pPr>
          </w:p>
        </w:tc>
        <w:tc>
          <w:tcPr>
            <w:tcW w:w="1458" w:type="dxa"/>
            <w:tcBorders>
              <w:top w:val="nil"/>
              <w:left w:val="nil"/>
              <w:bottom w:val="single" w:sz="4" w:space="0" w:color="auto"/>
              <w:right w:val="nil"/>
            </w:tcBorders>
            <w:shd w:val="clear" w:color="000000" w:fill="FFFFFF"/>
            <w:vAlign w:val="center"/>
            <w:hideMark/>
          </w:tcPr>
          <w:p w14:paraId="6E34F5B3" w14:textId="77777777" w:rsidR="00643818" w:rsidRPr="00830BAD" w:rsidRDefault="00643818" w:rsidP="00830BAD">
            <w:pPr>
              <w:spacing w:after="0" w:line="240" w:lineRule="auto"/>
              <w:jc w:val="both"/>
              <w:rPr>
                <w:rFonts w:eastAsia="Times New Roman" w:cstheme="minorHAnsi"/>
                <w:color w:val="000000"/>
              </w:rPr>
            </w:pPr>
            <w:r w:rsidRPr="00830BAD">
              <w:rPr>
                <w:rFonts w:eastAsia="Times New Roman" w:cstheme="minorHAnsi"/>
                <w:color w:val="000000"/>
              </w:rPr>
              <w:t>Prostaglandin</w:t>
            </w:r>
          </w:p>
        </w:tc>
        <w:tc>
          <w:tcPr>
            <w:tcW w:w="851" w:type="dxa"/>
            <w:tcBorders>
              <w:top w:val="nil"/>
              <w:left w:val="nil"/>
              <w:bottom w:val="single" w:sz="4" w:space="0" w:color="auto"/>
              <w:right w:val="nil"/>
            </w:tcBorders>
            <w:shd w:val="clear" w:color="000000" w:fill="FFFFFF"/>
            <w:noWrap/>
            <w:vAlign w:val="center"/>
            <w:hideMark/>
          </w:tcPr>
          <w:p w14:paraId="00C2B9B6" w14:textId="77777777" w:rsidR="00643818" w:rsidRPr="00830BAD" w:rsidRDefault="00643818" w:rsidP="00830BAD">
            <w:pPr>
              <w:spacing w:after="0" w:line="240" w:lineRule="auto"/>
              <w:jc w:val="both"/>
              <w:rPr>
                <w:rFonts w:eastAsia="Times New Roman" w:cstheme="minorHAnsi"/>
                <w:color w:val="000000"/>
              </w:rPr>
            </w:pPr>
            <w:r w:rsidRPr="00830BAD">
              <w:rPr>
                <w:rFonts w:eastAsia="Times New Roman" w:cstheme="minorHAnsi"/>
                <w:color w:val="000000"/>
              </w:rPr>
              <w:t>0.031</w:t>
            </w:r>
          </w:p>
        </w:tc>
        <w:tc>
          <w:tcPr>
            <w:tcW w:w="709" w:type="dxa"/>
            <w:tcBorders>
              <w:top w:val="nil"/>
              <w:left w:val="nil"/>
              <w:bottom w:val="single" w:sz="4" w:space="0" w:color="auto"/>
              <w:right w:val="nil"/>
            </w:tcBorders>
            <w:shd w:val="clear" w:color="000000" w:fill="FFFFFF"/>
            <w:noWrap/>
            <w:vAlign w:val="center"/>
            <w:hideMark/>
          </w:tcPr>
          <w:p w14:paraId="495B1AF6" w14:textId="77777777" w:rsidR="00643818" w:rsidRPr="00830BAD" w:rsidRDefault="00643818" w:rsidP="00830BAD">
            <w:pPr>
              <w:spacing w:after="0" w:line="240" w:lineRule="auto"/>
              <w:jc w:val="both"/>
              <w:rPr>
                <w:rFonts w:eastAsia="Times New Roman" w:cstheme="minorHAnsi"/>
                <w:color w:val="000000"/>
              </w:rPr>
            </w:pPr>
            <w:r w:rsidRPr="00830BAD">
              <w:rPr>
                <w:rFonts w:eastAsia="Times New Roman" w:cstheme="minorHAnsi"/>
                <w:color w:val="000000"/>
              </w:rPr>
              <w:t>0.01</w:t>
            </w:r>
          </w:p>
        </w:tc>
        <w:tc>
          <w:tcPr>
            <w:tcW w:w="992" w:type="dxa"/>
            <w:tcBorders>
              <w:top w:val="nil"/>
              <w:left w:val="nil"/>
              <w:bottom w:val="single" w:sz="4" w:space="0" w:color="auto"/>
              <w:right w:val="nil"/>
            </w:tcBorders>
            <w:shd w:val="clear" w:color="000000" w:fill="FFFFFF"/>
            <w:noWrap/>
            <w:vAlign w:val="center"/>
            <w:hideMark/>
          </w:tcPr>
          <w:p w14:paraId="472630C6" w14:textId="77777777" w:rsidR="00643818" w:rsidRPr="00830BAD" w:rsidRDefault="00643818" w:rsidP="00830BAD">
            <w:pPr>
              <w:spacing w:after="0" w:line="240" w:lineRule="auto"/>
              <w:jc w:val="both"/>
              <w:rPr>
                <w:rFonts w:eastAsia="Times New Roman" w:cstheme="minorHAnsi"/>
                <w:color w:val="000000"/>
              </w:rPr>
            </w:pPr>
            <w:r w:rsidRPr="00830BAD">
              <w:rPr>
                <w:rFonts w:eastAsia="Times New Roman" w:cstheme="minorHAnsi"/>
                <w:color w:val="000000"/>
              </w:rPr>
              <w:t>8.978</w:t>
            </w:r>
          </w:p>
        </w:tc>
        <w:tc>
          <w:tcPr>
            <w:tcW w:w="425" w:type="dxa"/>
            <w:tcBorders>
              <w:top w:val="nil"/>
              <w:left w:val="nil"/>
              <w:bottom w:val="single" w:sz="4" w:space="0" w:color="auto"/>
              <w:right w:val="nil"/>
            </w:tcBorders>
            <w:shd w:val="clear" w:color="000000" w:fill="FFFFFF"/>
            <w:noWrap/>
            <w:vAlign w:val="center"/>
            <w:hideMark/>
          </w:tcPr>
          <w:p w14:paraId="1F2A0655" w14:textId="77777777" w:rsidR="00643818" w:rsidRPr="00830BAD" w:rsidRDefault="00643818" w:rsidP="00830BAD">
            <w:pPr>
              <w:spacing w:after="0" w:line="240" w:lineRule="auto"/>
              <w:jc w:val="both"/>
              <w:rPr>
                <w:rFonts w:eastAsia="Times New Roman" w:cstheme="minorHAnsi"/>
                <w:color w:val="000000"/>
              </w:rPr>
            </w:pPr>
            <w:r w:rsidRPr="00830BAD">
              <w:rPr>
                <w:rFonts w:eastAsia="Times New Roman" w:cstheme="minorHAnsi"/>
                <w:color w:val="000000"/>
              </w:rPr>
              <w:t>1</w:t>
            </w:r>
          </w:p>
        </w:tc>
        <w:tc>
          <w:tcPr>
            <w:tcW w:w="992" w:type="dxa"/>
            <w:tcBorders>
              <w:top w:val="nil"/>
              <w:left w:val="nil"/>
              <w:bottom w:val="single" w:sz="4" w:space="0" w:color="auto"/>
              <w:right w:val="nil"/>
            </w:tcBorders>
            <w:shd w:val="clear" w:color="000000" w:fill="FFFFFF"/>
            <w:noWrap/>
            <w:vAlign w:val="center"/>
            <w:hideMark/>
          </w:tcPr>
          <w:p w14:paraId="2A419BA9" w14:textId="77777777" w:rsidR="00643818" w:rsidRPr="00830BAD" w:rsidRDefault="00643818" w:rsidP="00830BAD">
            <w:pPr>
              <w:spacing w:after="0" w:line="240" w:lineRule="auto"/>
              <w:jc w:val="both"/>
              <w:rPr>
                <w:rFonts w:eastAsia="Times New Roman" w:cstheme="minorHAnsi"/>
                <w:color w:val="000000"/>
              </w:rPr>
            </w:pPr>
            <w:r w:rsidRPr="00830BAD">
              <w:rPr>
                <w:rFonts w:eastAsia="Times New Roman" w:cstheme="minorHAnsi"/>
                <w:color w:val="000000"/>
              </w:rPr>
              <w:t>0.003</w:t>
            </w:r>
          </w:p>
        </w:tc>
        <w:tc>
          <w:tcPr>
            <w:tcW w:w="850" w:type="dxa"/>
            <w:tcBorders>
              <w:top w:val="nil"/>
              <w:left w:val="nil"/>
              <w:bottom w:val="single" w:sz="4" w:space="0" w:color="auto"/>
              <w:right w:val="nil"/>
            </w:tcBorders>
            <w:shd w:val="clear" w:color="000000" w:fill="FFFFFF"/>
            <w:noWrap/>
            <w:vAlign w:val="center"/>
            <w:hideMark/>
          </w:tcPr>
          <w:p w14:paraId="31FD5F63" w14:textId="77777777" w:rsidR="00643818" w:rsidRPr="00830BAD" w:rsidRDefault="00643818" w:rsidP="00830BAD">
            <w:pPr>
              <w:spacing w:after="0" w:line="240" w:lineRule="auto"/>
              <w:jc w:val="both"/>
              <w:rPr>
                <w:rFonts w:eastAsia="Times New Roman" w:cstheme="minorHAnsi"/>
                <w:color w:val="000000"/>
              </w:rPr>
            </w:pPr>
            <w:r w:rsidRPr="00830BAD">
              <w:rPr>
                <w:rFonts w:eastAsia="Times New Roman" w:cstheme="minorHAnsi"/>
                <w:color w:val="000000"/>
              </w:rPr>
              <w:t>1.032</w:t>
            </w:r>
          </w:p>
        </w:tc>
        <w:tc>
          <w:tcPr>
            <w:tcW w:w="992" w:type="dxa"/>
            <w:tcBorders>
              <w:top w:val="nil"/>
              <w:left w:val="nil"/>
              <w:bottom w:val="single" w:sz="4" w:space="0" w:color="auto"/>
              <w:right w:val="nil"/>
            </w:tcBorders>
            <w:shd w:val="clear" w:color="000000" w:fill="FFFFFF"/>
            <w:noWrap/>
            <w:vAlign w:val="center"/>
            <w:hideMark/>
          </w:tcPr>
          <w:p w14:paraId="60412D42" w14:textId="77777777" w:rsidR="00643818" w:rsidRPr="00830BAD" w:rsidRDefault="00643818" w:rsidP="00830BAD">
            <w:pPr>
              <w:spacing w:after="0" w:line="240" w:lineRule="auto"/>
              <w:jc w:val="both"/>
              <w:rPr>
                <w:rFonts w:eastAsia="Times New Roman" w:cstheme="minorHAnsi"/>
                <w:color w:val="000000"/>
              </w:rPr>
            </w:pPr>
            <w:r w:rsidRPr="00830BAD">
              <w:rPr>
                <w:rFonts w:eastAsia="Times New Roman" w:cstheme="minorHAnsi"/>
                <w:color w:val="000000"/>
              </w:rPr>
              <w:t>1.011</w:t>
            </w:r>
          </w:p>
        </w:tc>
        <w:tc>
          <w:tcPr>
            <w:tcW w:w="851" w:type="dxa"/>
            <w:tcBorders>
              <w:top w:val="nil"/>
              <w:left w:val="nil"/>
              <w:bottom w:val="single" w:sz="4" w:space="0" w:color="auto"/>
              <w:right w:val="nil"/>
            </w:tcBorders>
            <w:shd w:val="clear" w:color="000000" w:fill="FFFFFF"/>
            <w:noWrap/>
            <w:vAlign w:val="center"/>
            <w:hideMark/>
          </w:tcPr>
          <w:p w14:paraId="3F722414" w14:textId="77777777" w:rsidR="00643818" w:rsidRPr="00830BAD" w:rsidRDefault="00643818" w:rsidP="00830BAD">
            <w:pPr>
              <w:spacing w:after="0" w:line="240" w:lineRule="auto"/>
              <w:jc w:val="both"/>
              <w:rPr>
                <w:rFonts w:eastAsia="Times New Roman" w:cstheme="minorHAnsi"/>
                <w:color w:val="000000"/>
              </w:rPr>
            </w:pPr>
            <w:r w:rsidRPr="00830BAD">
              <w:rPr>
                <w:rFonts w:eastAsia="Times New Roman" w:cstheme="minorHAnsi"/>
                <w:color w:val="000000"/>
              </w:rPr>
              <w:t>1.053</w:t>
            </w:r>
          </w:p>
        </w:tc>
      </w:tr>
    </w:tbl>
    <w:p w14:paraId="3ADEFA9F" w14:textId="77777777" w:rsidR="00784C2C" w:rsidRDefault="00102E2A" w:rsidP="00830BAD">
      <w:pPr>
        <w:tabs>
          <w:tab w:val="left" w:pos="284"/>
          <w:tab w:val="left" w:pos="567"/>
        </w:tabs>
        <w:suppressAutoHyphens/>
        <w:spacing w:after="0" w:line="240" w:lineRule="auto"/>
        <w:jc w:val="both"/>
        <w:rPr>
          <w:rFonts w:cstheme="minorHAnsi"/>
          <w:i/>
          <w:color w:val="000000" w:themeColor="text1"/>
        </w:rPr>
      </w:pPr>
      <w:r w:rsidRPr="00830BAD">
        <w:rPr>
          <w:rFonts w:cstheme="minorHAnsi"/>
        </w:rPr>
        <w:t>*</w:t>
      </w:r>
      <w:r w:rsidR="004C5AB6" w:rsidRPr="00830BAD">
        <w:rPr>
          <w:rFonts w:cstheme="minorHAnsi"/>
          <w:i/>
          <w:color w:val="000000" w:themeColor="text1"/>
        </w:rPr>
        <w:t>Regresi logistic backward</w:t>
      </w:r>
    </w:p>
    <w:p w14:paraId="17416993" w14:textId="77777777" w:rsidR="000F42B2" w:rsidRDefault="000F42B2" w:rsidP="00830BAD">
      <w:pPr>
        <w:tabs>
          <w:tab w:val="left" w:pos="284"/>
          <w:tab w:val="left" w:pos="567"/>
        </w:tabs>
        <w:suppressAutoHyphens/>
        <w:spacing w:after="0" w:line="240" w:lineRule="auto"/>
        <w:jc w:val="both"/>
        <w:rPr>
          <w:rFonts w:cstheme="minorHAnsi"/>
          <w:i/>
          <w:color w:val="000000" w:themeColor="text1"/>
        </w:rPr>
      </w:pPr>
    </w:p>
    <w:p w14:paraId="437BEEA4" w14:textId="77777777" w:rsidR="00483081" w:rsidRPr="00830BAD" w:rsidRDefault="00483081" w:rsidP="00830BAD">
      <w:pPr>
        <w:tabs>
          <w:tab w:val="left" w:pos="284"/>
          <w:tab w:val="left" w:pos="567"/>
        </w:tabs>
        <w:suppressAutoHyphens/>
        <w:spacing w:after="0" w:line="240" w:lineRule="auto"/>
        <w:jc w:val="both"/>
        <w:rPr>
          <w:rFonts w:cstheme="minorHAnsi"/>
          <w:i/>
          <w:color w:val="000000" w:themeColor="text1"/>
        </w:rPr>
      </w:pPr>
      <w:r w:rsidRPr="004E02D7">
        <w:rPr>
          <w:rFonts w:cstheme="minorHAnsi"/>
          <w:lang w:val="en"/>
        </w:rPr>
        <w:t>Variables that are very influential on dysmenorrhea are stress with a value of p = 0,000 and prostaglandins with a value of p = 0.003 compar</w:t>
      </w:r>
      <w:r w:rsidR="00935C4E">
        <w:rPr>
          <w:rFonts w:cstheme="minorHAnsi"/>
          <w:lang w:val="en"/>
        </w:rPr>
        <w:t xml:space="preserve">ed to other variables) (table </w:t>
      </w:r>
      <w:r w:rsidRPr="004E02D7">
        <w:rPr>
          <w:rFonts w:cstheme="minorHAnsi"/>
          <w:lang w:val="en"/>
        </w:rPr>
        <w:t>6).</w:t>
      </w:r>
    </w:p>
    <w:p w14:paraId="047ED2F0" w14:textId="085A3CB0" w:rsidR="004C5AB6" w:rsidRDefault="004C5AB6" w:rsidP="00830BAD">
      <w:pPr>
        <w:tabs>
          <w:tab w:val="left" w:pos="284"/>
          <w:tab w:val="left" w:pos="567"/>
        </w:tabs>
        <w:suppressAutoHyphens/>
        <w:spacing w:after="0" w:line="240" w:lineRule="auto"/>
        <w:jc w:val="both"/>
        <w:rPr>
          <w:rFonts w:cstheme="minorHAnsi"/>
          <w:i/>
          <w:color w:val="000000" w:themeColor="text1"/>
        </w:rPr>
      </w:pPr>
    </w:p>
    <w:p w14:paraId="08D6E94F" w14:textId="77777777" w:rsidR="00E46BB7" w:rsidRPr="00830BAD" w:rsidRDefault="00E46BB7" w:rsidP="00830BAD">
      <w:pPr>
        <w:tabs>
          <w:tab w:val="left" w:pos="284"/>
          <w:tab w:val="left" w:pos="567"/>
        </w:tabs>
        <w:suppressAutoHyphens/>
        <w:spacing w:after="0" w:line="240" w:lineRule="auto"/>
        <w:jc w:val="both"/>
        <w:rPr>
          <w:rFonts w:cstheme="minorHAnsi"/>
          <w:i/>
          <w:color w:val="000000" w:themeColor="text1"/>
        </w:rPr>
      </w:pPr>
    </w:p>
    <w:p w14:paraId="106EEDFF" w14:textId="77777777" w:rsidR="007A3F07" w:rsidRPr="00830BAD" w:rsidRDefault="007A3F07" w:rsidP="00830BAD">
      <w:pPr>
        <w:spacing w:after="0" w:line="240" w:lineRule="auto"/>
        <w:jc w:val="both"/>
        <w:rPr>
          <w:rFonts w:cstheme="minorHAnsi"/>
          <w:b/>
        </w:rPr>
      </w:pPr>
      <w:r w:rsidRPr="00830BAD">
        <w:rPr>
          <w:rFonts w:cstheme="minorHAnsi"/>
          <w:b/>
        </w:rPr>
        <w:t>Discussion</w:t>
      </w:r>
    </w:p>
    <w:p w14:paraId="0AAD1AF1" w14:textId="77777777" w:rsidR="007A3F07" w:rsidRPr="00830BAD" w:rsidRDefault="007A3F07" w:rsidP="00830BAD">
      <w:pPr>
        <w:spacing w:after="0" w:line="240" w:lineRule="auto"/>
        <w:jc w:val="both"/>
        <w:rPr>
          <w:rFonts w:cstheme="minorHAnsi"/>
          <w:b/>
        </w:rPr>
      </w:pPr>
    </w:p>
    <w:p w14:paraId="2DEF5815" w14:textId="0863DE70" w:rsidR="007A3F07" w:rsidRPr="00830BAD" w:rsidRDefault="00E46BB7" w:rsidP="00E46BB7">
      <w:pPr>
        <w:spacing w:after="0" w:line="240" w:lineRule="auto"/>
        <w:ind w:firstLine="284"/>
        <w:jc w:val="both"/>
        <w:rPr>
          <w:rFonts w:cstheme="minorHAnsi"/>
        </w:rPr>
      </w:pPr>
      <w:r>
        <w:rPr>
          <w:rFonts w:cstheme="minorHAnsi"/>
        </w:rPr>
        <w:t xml:space="preserve">Table </w:t>
      </w:r>
      <w:r w:rsidR="007A3F07" w:rsidRPr="00830BAD">
        <w:rPr>
          <w:rFonts w:cstheme="minorHAnsi"/>
        </w:rPr>
        <w:t>1 shows that most 16-year-old are as many as 74 people (57.8%). Respondents with the most menstrual cycles are 21-35 days of 124 people (96.9%). Respondents w</w:t>
      </w:r>
      <w:r w:rsidR="00727CAC">
        <w:rPr>
          <w:rFonts w:cstheme="minorHAnsi"/>
        </w:rPr>
        <w:t>ith the most menstrual period of 5-7 days are</w:t>
      </w:r>
      <w:r w:rsidR="007A3F07" w:rsidRPr="00830BAD">
        <w:rPr>
          <w:rFonts w:cstheme="minorHAnsi"/>
        </w:rPr>
        <w:t xml:space="preserve"> 89 people (69.5%). Tab</w:t>
      </w:r>
      <w:r>
        <w:rPr>
          <w:rFonts w:cstheme="minorHAnsi"/>
        </w:rPr>
        <w:t xml:space="preserve">le </w:t>
      </w:r>
      <w:r w:rsidR="007A3F07" w:rsidRPr="00830BAD">
        <w:rPr>
          <w:rFonts w:cstheme="minorHAnsi"/>
        </w:rPr>
        <w:t>2 shows that respondents who have the highest intake of carbohydrate macronutrients are less than 69 people (53.9%), the maximum protein intake of ma</w:t>
      </w:r>
      <w:r w:rsidR="00065988">
        <w:rPr>
          <w:rFonts w:cstheme="minorHAnsi"/>
        </w:rPr>
        <w:t>c</w:t>
      </w:r>
      <w:r w:rsidR="007A3F07" w:rsidRPr="00830BAD">
        <w:rPr>
          <w:rFonts w:cstheme="minorHAnsi"/>
        </w:rPr>
        <w:t xml:space="preserve">ronutrients is less than 69 people (53.9%), consumption of the </w:t>
      </w:r>
      <w:r w:rsidR="00065988">
        <w:rPr>
          <w:rFonts w:cstheme="minorHAnsi"/>
        </w:rPr>
        <w:t>fattes</w:t>
      </w:r>
      <w:r w:rsidR="007A3F07" w:rsidRPr="00830BAD">
        <w:rPr>
          <w:rFonts w:cstheme="minorHAnsi"/>
        </w:rPr>
        <w:t>t macronutrient intake is less than 73 people (57.0%). Most of the Re</w:t>
      </w:r>
      <w:r w:rsidR="00065988">
        <w:rPr>
          <w:rFonts w:cstheme="minorHAnsi"/>
        </w:rPr>
        <w:t>spondents</w:t>
      </w:r>
      <w:r w:rsidR="007A3F07" w:rsidRPr="00830BAD">
        <w:rPr>
          <w:rFonts w:cstheme="minorHAnsi"/>
        </w:rPr>
        <w:t xml:space="preserve"> have low prostaglandin levels of 66.4%. Previously, </w:t>
      </w:r>
      <w:r w:rsidR="00597592">
        <w:rPr>
          <w:rFonts w:cstheme="minorHAnsi"/>
        </w:rPr>
        <w:t>the cut-off point was determined at prostaglandin levels (pgf2α) using a ROC curve with 50.00% sensitivity and 82.81% specificity values</w:t>
      </w:r>
      <w:r w:rsidR="007A3F07" w:rsidRPr="00830BAD">
        <w:rPr>
          <w:rFonts w:cstheme="minorHAnsi"/>
        </w:rPr>
        <w:t>. Respondents who have been dysmenor</w:t>
      </w:r>
      <w:r w:rsidR="00065988">
        <w:rPr>
          <w:rFonts w:cstheme="minorHAnsi"/>
        </w:rPr>
        <w:t>rhea</w:t>
      </w:r>
      <w:r w:rsidR="007A3F07" w:rsidRPr="00830BAD">
        <w:rPr>
          <w:rFonts w:cstheme="minorHAnsi"/>
        </w:rPr>
        <w:t xml:space="preserve"> as much as 64 (50%) </w:t>
      </w:r>
      <w:r w:rsidR="00597592">
        <w:rPr>
          <w:rFonts w:cstheme="minorHAnsi"/>
        </w:rPr>
        <w:t>and</w:t>
      </w:r>
      <w:r w:rsidR="007A3F07" w:rsidRPr="00830BAD">
        <w:rPr>
          <w:rFonts w:cstheme="minorHAnsi"/>
        </w:rPr>
        <w:t xml:space="preserve"> did not suffer from dysmenor</w:t>
      </w:r>
      <w:r w:rsidR="00065988">
        <w:rPr>
          <w:rFonts w:cstheme="minorHAnsi"/>
        </w:rPr>
        <w:t>rhea</w:t>
      </w:r>
      <w:r w:rsidR="007A3F07" w:rsidRPr="00830BAD">
        <w:rPr>
          <w:rFonts w:cstheme="minorHAnsi"/>
        </w:rPr>
        <w:t xml:space="preserve"> as much as 64 respondents (50%).</w:t>
      </w:r>
    </w:p>
    <w:p w14:paraId="7041B3A0" w14:textId="235831D6" w:rsidR="00394FD6" w:rsidRDefault="0078230B" w:rsidP="00394FD6">
      <w:pPr>
        <w:spacing w:after="0" w:line="240" w:lineRule="auto"/>
        <w:ind w:firstLine="284"/>
        <w:jc w:val="both"/>
        <w:rPr>
          <w:rFonts w:cstheme="minorHAnsi"/>
        </w:rPr>
      </w:pPr>
      <w:r w:rsidRPr="0078230B">
        <w:rPr>
          <w:rFonts w:cstheme="minorHAnsi"/>
        </w:rPr>
        <w:t>Carbohydrates are one part of the macronutrients contained in foods. High protein levels in foods will increase the levels of tyrosine that implicate the increase in the synthesis of dopamine, the dopamine metabolite. Dopamine is purported to improve satisfaction and mood. In general, a recognized breakfast contributes positively to the quality of the diet, the intake of macronutrients and micronutrients, body mass index, lifestyle, and p</w:t>
      </w:r>
      <w:r w:rsidR="00EF1091">
        <w:rPr>
          <w:rFonts w:cstheme="minorHAnsi"/>
        </w:rPr>
        <w:t>ositively affects</w:t>
      </w:r>
      <w:r w:rsidRPr="0078230B">
        <w:rPr>
          <w:rFonts w:cstheme="minorHAnsi"/>
        </w:rPr>
        <w:t xml:space="preserve"> behavioral, cognitive, and academic performance in children aged</w:t>
      </w:r>
      <w:r w:rsidR="00EF1091">
        <w:rPr>
          <w:rFonts w:cstheme="minorHAnsi"/>
        </w:rPr>
        <w:t>-school</w:t>
      </w:r>
      <w:r w:rsidR="00D9688D">
        <w:rPr>
          <w:rFonts w:cstheme="minorHAnsi"/>
        </w:rPr>
        <w:t>.</w:t>
      </w:r>
      <w:r w:rsidR="002155FB">
        <w:rPr>
          <w:rFonts w:cstheme="minorHAnsi"/>
        </w:rPr>
        <w:fldChar w:fldCharType="begin" w:fldLock="1"/>
      </w:r>
      <w:r w:rsidR="001B0D54">
        <w:rPr>
          <w:rFonts w:cstheme="minorHAnsi"/>
        </w:rPr>
        <w:instrText>ADDIN CSL_CITATION {"citationItems":[{"id":"ITEM-1","itemData":{"author":[{"dropping-particle":"","family":"Almatsier","given":"Sunita","non-dropping-particle":"","parse-names":false,"suffix":""}],"id":"ITEM-1","issued":{"date-parts":[["2010"]]},"publisher":"Gramedia Pustaka Utama","publisher-place":"Jakarta","title":"Prinsip dasar ilmu gizi","type":"book"},"uris":["http://www.mendeley.com/documents/?uuid=1c406df5-f329-4fbb-be06-cad9ac686bba"]},{"id":"ITEM-2","itemData":{"ISSN":"2540-8844","author":[{"dropping-particle":"","family":"Cantika","given":"Helena Ayatasya Kusuma","non-dropping-particle":"","parse-names":false,"suffix":""},{"dropping-particle":"","family":"Ardiaria","given":"Martha","non-dropping-particle":"","parse-names":false,"suffix":""},{"dropping-particle":"","family":"Syauqy","given":"Ahmad","non-dropping-particle":"","parse-names":false,"suffix":""}],"container-title":"Jurnal Kedokteran Diponegoro","id":"ITEM-2","issue":"2","issued":{"date-parts":[["2017"]]},"page":"611-621","title":"Peran makronutrien dalam sarapan terhadap performa kognitif remaja","type":"article-journal","volume":"6"},"uris":["http://www.mendeley.com/documents/?uuid=5eb9a93a-aeec-46c1-91cc-b00fb6770b28"]}],"mendeley":{"formattedCitation":"&lt;sup&gt;15,16&lt;/sup&gt;","plainTextFormattedCitation":"15,16","previouslyFormattedCitation":"&lt;sup&gt;15,16&lt;/sup&gt;"},"properties":{"noteIndex":0},"schema":"https://github.com/citation-style-language/schema/raw/master/csl-citation.json"}</w:instrText>
      </w:r>
      <w:r w:rsidR="002155FB">
        <w:rPr>
          <w:rFonts w:cstheme="minorHAnsi"/>
        </w:rPr>
        <w:fldChar w:fldCharType="separate"/>
      </w:r>
      <w:r w:rsidR="002155FB" w:rsidRPr="002155FB">
        <w:rPr>
          <w:rFonts w:cstheme="minorHAnsi"/>
          <w:noProof/>
          <w:vertAlign w:val="superscript"/>
        </w:rPr>
        <w:t>15,16</w:t>
      </w:r>
      <w:r w:rsidR="002155FB">
        <w:rPr>
          <w:rFonts w:cstheme="minorHAnsi"/>
        </w:rPr>
        <w:fldChar w:fldCharType="end"/>
      </w:r>
      <w:r w:rsidRPr="0078230B">
        <w:rPr>
          <w:rFonts w:cstheme="minorHAnsi"/>
        </w:rPr>
        <w:t xml:space="preserve"> The results of this study with a Chi</w:t>
      </w:r>
      <w:r w:rsidR="00065988">
        <w:rPr>
          <w:rFonts w:cstheme="minorHAnsi"/>
        </w:rPr>
        <w:t>-</w:t>
      </w:r>
      <w:r w:rsidRPr="0078230B">
        <w:rPr>
          <w:rFonts w:cstheme="minorHAnsi"/>
        </w:rPr>
        <w:t>square test showed no influence between the intake of macronutrients (carbohydrates, proteins, fats) with the incidence of dysmenor</w:t>
      </w:r>
      <w:r w:rsidR="00065988">
        <w:rPr>
          <w:rFonts w:cstheme="minorHAnsi"/>
        </w:rPr>
        <w:t>rhea</w:t>
      </w:r>
      <w:r w:rsidRPr="0078230B">
        <w:rPr>
          <w:rFonts w:cstheme="minorHAnsi"/>
        </w:rPr>
        <w:t>.</w:t>
      </w:r>
    </w:p>
    <w:p w14:paraId="28C743E2" w14:textId="5F136E12" w:rsidR="00394FD6" w:rsidRDefault="007A3F07" w:rsidP="00394FD6">
      <w:pPr>
        <w:spacing w:after="0" w:line="240" w:lineRule="auto"/>
        <w:ind w:firstLine="284"/>
        <w:jc w:val="both"/>
        <w:rPr>
          <w:rFonts w:cstheme="minorHAnsi"/>
        </w:rPr>
      </w:pPr>
      <w:r w:rsidRPr="00830BAD">
        <w:rPr>
          <w:rFonts w:cstheme="minorHAnsi"/>
        </w:rPr>
        <w:t xml:space="preserve">Fatty acids are an </w:t>
      </w:r>
      <w:r w:rsidR="00EF1091">
        <w:rPr>
          <w:rFonts w:cstheme="minorHAnsi"/>
        </w:rPr>
        <w:t>essential</w:t>
      </w:r>
      <w:r w:rsidRPr="00830BAD">
        <w:rPr>
          <w:rFonts w:cstheme="minorHAnsi"/>
        </w:rPr>
        <w:t xml:space="preserve"> component in cell membranes as they can produce energy. </w:t>
      </w:r>
      <w:r w:rsidR="00032632">
        <w:rPr>
          <w:rFonts w:cstheme="minorHAnsi"/>
        </w:rPr>
        <w:t>Therefore, w</w:t>
      </w:r>
      <w:r w:rsidRPr="00830BAD">
        <w:rPr>
          <w:rFonts w:cstheme="minorHAnsi"/>
        </w:rPr>
        <w:t>omen should be consuming foods high in omega-3 fatty acids</w:t>
      </w:r>
      <w:r w:rsidR="00032632">
        <w:rPr>
          <w:rFonts w:cstheme="minorHAnsi"/>
        </w:rPr>
        <w:t>,</w:t>
      </w:r>
      <w:r w:rsidRPr="00830BAD">
        <w:rPr>
          <w:rFonts w:cstheme="minorHAnsi"/>
        </w:rPr>
        <w:t xml:space="preserve"> e.g.</w:t>
      </w:r>
      <w:r w:rsidR="00EF1091">
        <w:rPr>
          <w:rFonts w:cstheme="minorHAnsi"/>
        </w:rPr>
        <w:t>,</w:t>
      </w:r>
      <w:r w:rsidRPr="00830BAD">
        <w:rPr>
          <w:rFonts w:cstheme="minorHAnsi"/>
        </w:rPr>
        <w:t xml:space="preserve"> fish (salmon, tuna, mackerel, dried fish), fish oil, soy, eggs, meat, shrimp</w:t>
      </w:r>
      <w:r w:rsidR="00065988">
        <w:rPr>
          <w:rFonts w:cstheme="minorHAnsi"/>
        </w:rPr>
        <w:t>,</w:t>
      </w:r>
      <w:r w:rsidRPr="00830BAD">
        <w:rPr>
          <w:rFonts w:cstheme="minorHAnsi"/>
        </w:rPr>
        <w:t xml:space="preserve"> and fruits. C</w:t>
      </w:r>
      <w:r w:rsidR="00032632">
        <w:rPr>
          <w:rFonts w:cstheme="minorHAnsi"/>
        </w:rPr>
        <w:t>onversely, c</w:t>
      </w:r>
      <w:r w:rsidRPr="00830BAD">
        <w:rPr>
          <w:rFonts w:cstheme="minorHAnsi"/>
        </w:rPr>
        <w:t xml:space="preserve">onsuming foods that are low in omega-3 can increase pain </w:t>
      </w:r>
      <w:r w:rsidR="00A10858" w:rsidRPr="00830BAD">
        <w:rPr>
          <w:rFonts w:cstheme="minorHAnsi"/>
        </w:rPr>
        <w:t>dysmenor</w:t>
      </w:r>
      <w:r w:rsidR="00065988">
        <w:rPr>
          <w:rFonts w:cstheme="minorHAnsi"/>
        </w:rPr>
        <w:t>rhea</w:t>
      </w:r>
      <w:r w:rsidR="00B61CD7">
        <w:rPr>
          <w:rFonts w:cstheme="minorHAnsi"/>
        </w:rPr>
        <w:t>.</w:t>
      </w:r>
      <w:r w:rsidR="00A10858" w:rsidRPr="00830BAD">
        <w:rPr>
          <w:rFonts w:cstheme="minorHAnsi"/>
        </w:rPr>
        <w:t xml:space="preserve"> </w:t>
      </w:r>
      <w:r w:rsidR="001B0D54">
        <w:rPr>
          <w:rFonts w:cstheme="minorHAnsi"/>
        </w:rPr>
        <w:fldChar w:fldCharType="begin" w:fldLock="1"/>
      </w:r>
      <w:r w:rsidR="001B0D54">
        <w:rPr>
          <w:rFonts w:cstheme="minorHAnsi"/>
        </w:rPr>
        <w:instrText>ADDIN CSL_CITATION {"citationItems":[{"id":"ITEM-1","itemData":{"ISSN":"2622-884X","author":[{"dropping-particle":"","family":"Famimah","given":"Famimah","non-dropping-particle":"","parse-names":false,"suffix":""},{"dropping-particle":"","family":"Margawati","given":"Ani","non-dropping-particle":"","parse-names":false,"suffix":""},{"dropping-particle":"","family":"Fitranti","given":"Deny Yudi","non-dropping-particle":"","parse-names":false,"suffix":""}],"container-title":"Journal of Nutrition College","id":"ITEM-1","issue":"4","issued":{"date-parts":[["2017"]]},"page":"268-276","publisher":"Departemen Ilmu Gizi, Fakultas Kedokteran, Universitas Diponegoro","title":"Hubungan Konsumsi Asam Lemak Omega-3, Aktivitas Fisik Dan Persen Lemak Tubuh Dengan Tingkat Dismenore Pada Remaja","type":"article-journal","volume":"6"},"uris":["http://www.mendeley.com/documents/?uuid=26f39221-1ac4-41d5-996a-31d69f0ddd18"]}],"mendeley":{"formattedCitation":"&lt;sup&gt;17&lt;/sup&gt;","plainTextFormattedCitation":"17","previouslyFormattedCitation":"&lt;sup&gt;17&lt;/sup&gt;"},"properties":{"noteIndex":0},"schema":"https://github.com/citation-style-language/schema/raw/master/csl-citation.json"}</w:instrText>
      </w:r>
      <w:r w:rsidR="001B0D54">
        <w:rPr>
          <w:rFonts w:cstheme="minorHAnsi"/>
        </w:rPr>
        <w:fldChar w:fldCharType="separate"/>
      </w:r>
      <w:r w:rsidR="001B0D54" w:rsidRPr="001B0D54">
        <w:rPr>
          <w:rFonts w:cstheme="minorHAnsi"/>
          <w:noProof/>
          <w:vertAlign w:val="superscript"/>
        </w:rPr>
        <w:t>17</w:t>
      </w:r>
      <w:r w:rsidR="001B0D54">
        <w:rPr>
          <w:rFonts w:cstheme="minorHAnsi"/>
        </w:rPr>
        <w:fldChar w:fldCharType="end"/>
      </w:r>
      <w:r w:rsidRPr="00830BAD">
        <w:rPr>
          <w:rFonts w:cstheme="minorHAnsi"/>
        </w:rPr>
        <w:t xml:space="preserve"> The results of this study differ from those done in Georgia</w:t>
      </w:r>
      <w:r w:rsidR="00032632">
        <w:rPr>
          <w:rFonts w:cstheme="minorHAnsi"/>
        </w:rPr>
        <w:t>,</w:t>
      </w:r>
      <w:r w:rsidRPr="00830BAD">
        <w:rPr>
          <w:rFonts w:cstheme="minorHAnsi"/>
        </w:rPr>
        <w:t xml:space="preserve"> stating that energy and fa</w:t>
      </w:r>
      <w:r w:rsidR="00A10858" w:rsidRPr="00830BAD">
        <w:rPr>
          <w:rFonts w:cstheme="minorHAnsi"/>
        </w:rPr>
        <w:t xml:space="preserve">t intake </w:t>
      </w:r>
      <w:r w:rsidR="00032632">
        <w:rPr>
          <w:rFonts w:cstheme="minorHAnsi"/>
        </w:rPr>
        <w:t>are connected</w:t>
      </w:r>
      <w:r w:rsidR="00A10858" w:rsidRPr="00830BAD">
        <w:rPr>
          <w:rFonts w:cstheme="minorHAnsi"/>
        </w:rPr>
        <w:t xml:space="preserve"> with d</w:t>
      </w:r>
      <w:r w:rsidRPr="00830BAD">
        <w:rPr>
          <w:rFonts w:cstheme="minorHAnsi"/>
        </w:rPr>
        <w:t>ysmenor</w:t>
      </w:r>
      <w:r w:rsidR="00065988">
        <w:rPr>
          <w:rFonts w:cstheme="minorHAnsi"/>
        </w:rPr>
        <w:t>rhea</w:t>
      </w:r>
      <w:r w:rsidRPr="00830BAD">
        <w:rPr>
          <w:rFonts w:cstheme="minorHAnsi"/>
        </w:rPr>
        <w:t xml:space="preserve"> events.</w:t>
      </w:r>
    </w:p>
    <w:p w14:paraId="749713D5" w14:textId="36A3891D" w:rsidR="00394FD6" w:rsidRDefault="00032632" w:rsidP="00394FD6">
      <w:pPr>
        <w:spacing w:after="0" w:line="240" w:lineRule="auto"/>
        <w:ind w:firstLine="284"/>
        <w:jc w:val="both"/>
        <w:rPr>
          <w:rFonts w:cstheme="minorHAnsi"/>
        </w:rPr>
      </w:pPr>
      <w:r>
        <w:rPr>
          <w:rFonts w:cstheme="minorHAnsi"/>
        </w:rPr>
        <w:lastRenderedPageBreak/>
        <w:t>T</w:t>
      </w:r>
      <w:r w:rsidR="007A3F07" w:rsidRPr="00830BAD">
        <w:rPr>
          <w:rFonts w:cstheme="minorHAnsi"/>
        </w:rPr>
        <w:t>able 3.4 indicates that there is a stress effect with the occurrence of Dysmenore with the</w:t>
      </w:r>
      <w:r w:rsidR="007A3F07" w:rsidRPr="00830BAD">
        <w:rPr>
          <w:rFonts w:cstheme="minorHAnsi"/>
          <w:i/>
        </w:rPr>
        <w:t xml:space="preserve"> value </w:t>
      </w:r>
      <w:r w:rsidR="00A10858" w:rsidRPr="00830BAD">
        <w:rPr>
          <w:rFonts w:cstheme="minorHAnsi"/>
          <w:i/>
        </w:rPr>
        <w:t>p</w:t>
      </w:r>
      <w:r w:rsidR="007A3F07" w:rsidRPr="00830BAD">
        <w:rPr>
          <w:rFonts w:cstheme="minorHAnsi"/>
          <w:i/>
        </w:rPr>
        <w:t xml:space="preserve"> = 0.002</w:t>
      </w:r>
      <w:r w:rsidR="007A3F07" w:rsidRPr="00830BAD">
        <w:rPr>
          <w:rFonts w:cstheme="minorHAnsi"/>
        </w:rPr>
        <w:t xml:space="preserve">. Stress can exacerbate the current state of menstruation. The research is in line with </w:t>
      </w:r>
      <w:r>
        <w:rPr>
          <w:rFonts w:cstheme="minorHAnsi"/>
        </w:rPr>
        <w:t>India's research that there is a significant relationship between dysmenorrhea and</w:t>
      </w:r>
      <w:r w:rsidR="007A3F07" w:rsidRPr="00830BAD">
        <w:rPr>
          <w:rFonts w:cstheme="minorHAnsi"/>
        </w:rPr>
        <w:t xml:space="preserve"> stress. In addition, the Korean nursing Program recommends that teenagers improve their health and encourage them to eat regularly to reduce stress when </w:t>
      </w:r>
      <w:r>
        <w:rPr>
          <w:rFonts w:cstheme="minorHAnsi"/>
        </w:rPr>
        <w:t>menstruation</w:t>
      </w:r>
      <w:r w:rsidR="00B61CD7">
        <w:rPr>
          <w:rFonts w:cstheme="minorHAnsi"/>
        </w:rPr>
        <w:t>.</w:t>
      </w:r>
      <w:r w:rsidR="001B0D54">
        <w:rPr>
          <w:rFonts w:cstheme="minorHAnsi"/>
        </w:rPr>
        <w:fldChar w:fldCharType="begin" w:fldLock="1"/>
      </w:r>
      <w:r w:rsidR="0060077E">
        <w:rPr>
          <w:rFonts w:cstheme="minorHAnsi"/>
        </w:rPr>
        <w:instrText>ADDIN CSL_CITATION {"citationItems":[{"id":"ITEM-1","itemData":{"ISSN":"0915-5287","author":[{"dropping-particle":"","family":"Jeon","given":"Ga Eul","non-dropping-particle":"","parse-names":false,"suffix":""},{"dropping-particle":"","family":"Cha","given":"Nam Hyun","non-dropping-particle":"","parse-names":false,"suffix":""},{"dropping-particle":"","family":"Sok","given":"Sohyune R","non-dropping-particle":"","parse-names":false,"suffix":""}],"container-title":"Journal of physical therapy science","id":"ITEM-1","issue":"9","issued":{"date-parts":[["2014"]]},"page":"1337-1343","publisher":"The Society of Physical Therapy Science","title":"Factors influencing the dysmenorrhea among Korean adolescents in middle school","type":"article-journal","volume":"26"},"uris":["http://www.mendeley.com/documents/?uuid=42c37f94-65cc-40d1-bebf-70e26cd6642b"]}],"mendeley":{"formattedCitation":"&lt;sup&gt;18&lt;/sup&gt;","plainTextFormattedCitation":"18","previouslyFormattedCitation":"&lt;sup&gt;18&lt;/sup&gt;"},"properties":{"noteIndex":0},"schema":"https://github.com/citation-style-language/schema/raw/master/csl-citation.json"}</w:instrText>
      </w:r>
      <w:r w:rsidR="001B0D54">
        <w:rPr>
          <w:rFonts w:cstheme="minorHAnsi"/>
        </w:rPr>
        <w:fldChar w:fldCharType="separate"/>
      </w:r>
      <w:r w:rsidR="001B0D54" w:rsidRPr="001B0D54">
        <w:rPr>
          <w:rFonts w:cstheme="minorHAnsi"/>
          <w:noProof/>
          <w:vertAlign w:val="superscript"/>
        </w:rPr>
        <w:t>18</w:t>
      </w:r>
      <w:r w:rsidR="001B0D54">
        <w:rPr>
          <w:rFonts w:cstheme="minorHAnsi"/>
        </w:rPr>
        <w:fldChar w:fldCharType="end"/>
      </w:r>
    </w:p>
    <w:p w14:paraId="1FB406B7" w14:textId="5BA3CC00" w:rsidR="00394FD6" w:rsidRDefault="007A3F07" w:rsidP="00394FD6">
      <w:pPr>
        <w:spacing w:after="0" w:line="240" w:lineRule="auto"/>
        <w:ind w:firstLine="284"/>
        <w:jc w:val="both"/>
        <w:rPr>
          <w:rFonts w:cstheme="minorHAnsi"/>
        </w:rPr>
      </w:pPr>
      <w:r w:rsidRPr="00830BAD">
        <w:rPr>
          <w:rFonts w:cstheme="minorHAnsi"/>
        </w:rPr>
        <w:t>The cause of pain is dysmenorrhoea due to an increase in prostaglandin hormones. This hormone results in uterine contractions and vascular vasoconstriction. Blood flow that leads to the uterus decreases so that the uterus does not get a</w:t>
      </w:r>
      <w:r w:rsidR="009D30CB">
        <w:rPr>
          <w:rFonts w:cstheme="minorHAnsi"/>
        </w:rPr>
        <w:t>dequate</w:t>
      </w:r>
      <w:r w:rsidRPr="00830BAD">
        <w:rPr>
          <w:rFonts w:cstheme="minorHAnsi"/>
        </w:rPr>
        <w:t xml:space="preserve"> oxygen, causing </w:t>
      </w:r>
      <w:r w:rsidR="009D30CB">
        <w:rPr>
          <w:rFonts w:cstheme="minorHAnsi"/>
        </w:rPr>
        <w:t>pain</w:t>
      </w:r>
      <w:r w:rsidR="00B61CD7">
        <w:rPr>
          <w:rFonts w:cstheme="minorHAnsi"/>
        </w:rPr>
        <w:t>.</w:t>
      </w:r>
      <w:r w:rsidR="0060077E">
        <w:rPr>
          <w:rFonts w:cstheme="minorHAnsi"/>
        </w:rPr>
        <w:fldChar w:fldCharType="begin" w:fldLock="1"/>
      </w:r>
      <w:r w:rsidR="0060077E">
        <w:rPr>
          <w:rFonts w:cstheme="minorHAnsi"/>
        </w:rPr>
        <w:instrText>ADDIN CSL_CITATION {"citationItems":[{"id":"ITEM-1","itemData":{"ISSN":"2655-2310","author":[{"dropping-particle":"","family":"Novadela","given":"Nora Isa Tri","non-dropping-particle":"","parse-names":false,"suffix":""},{"dropping-particle":"","family":"Hardini","given":"Rahmi Aziza","non-dropping-particle":"","parse-names":false,"suffix":""},{"dropping-particle":"","family":"Mugiati","given":"Mugiati","non-dropping-particle":"","parse-names":false,"suffix":""}],"container-title":"Jurnal Ilmiah Keperawatan Sai Betik","id":"ITEM-1","issue":"2","issued":{"date-parts":[["2019"]]},"page":"219-225","title":"Perbandingan terapi air putih dengan kompres hangat terhadap penurunan skala nyeri haid (dismenorea primer) pada remaja","type":"article-journal","volume":"14"},"uris":["http://www.mendeley.com/documents/?uuid=49ade3b5-3380-4c07-9355-86621a92ae85"]}],"mendeley":{"formattedCitation":"&lt;sup&gt;19&lt;/sup&gt;","plainTextFormattedCitation":"19","previouslyFormattedCitation":"&lt;sup&gt;19&lt;/sup&gt;"},"properties":{"noteIndex":0},"schema":"https://github.com/citation-style-language/schema/raw/master/csl-citation.json"}</w:instrText>
      </w:r>
      <w:r w:rsidR="0060077E">
        <w:rPr>
          <w:rFonts w:cstheme="minorHAnsi"/>
        </w:rPr>
        <w:fldChar w:fldCharType="separate"/>
      </w:r>
      <w:r w:rsidR="0060077E" w:rsidRPr="0060077E">
        <w:rPr>
          <w:rFonts w:cstheme="minorHAnsi"/>
          <w:noProof/>
          <w:vertAlign w:val="superscript"/>
        </w:rPr>
        <w:t>19</w:t>
      </w:r>
      <w:r w:rsidR="0060077E">
        <w:rPr>
          <w:rFonts w:cstheme="minorHAnsi"/>
        </w:rPr>
        <w:fldChar w:fldCharType="end"/>
      </w:r>
      <w:r w:rsidRPr="00830BAD">
        <w:rPr>
          <w:rFonts w:cstheme="minorHAnsi"/>
        </w:rPr>
        <w:t xml:space="preserve"> In line with the test results in the 3.5 table indicat</w:t>
      </w:r>
      <w:r w:rsidR="00DB7CE7">
        <w:rPr>
          <w:rFonts w:cstheme="minorHAnsi"/>
        </w:rPr>
        <w:t xml:space="preserve">es </w:t>
      </w:r>
      <w:r w:rsidRPr="00830BAD">
        <w:rPr>
          <w:rFonts w:cstheme="minorHAnsi"/>
        </w:rPr>
        <w:t>that the incidence of dysmenor</w:t>
      </w:r>
      <w:r w:rsidR="00065988">
        <w:rPr>
          <w:rFonts w:cstheme="minorHAnsi"/>
        </w:rPr>
        <w:t>rhea</w:t>
      </w:r>
      <w:r w:rsidRPr="00830BAD">
        <w:rPr>
          <w:rFonts w:cstheme="minorHAnsi"/>
        </w:rPr>
        <w:t xml:space="preserve"> has an influence </w:t>
      </w:r>
      <w:r w:rsidR="00065988">
        <w:rPr>
          <w:rFonts w:cstheme="minorHAnsi"/>
        </w:rPr>
        <w:t>on</w:t>
      </w:r>
      <w:r w:rsidRPr="00830BAD">
        <w:rPr>
          <w:rFonts w:cstheme="minorHAnsi"/>
        </w:rPr>
        <w:t xml:space="preserve"> the level of prostaglandins (Pgf2α) with a value </w:t>
      </w:r>
      <w:r w:rsidRPr="00830BAD">
        <w:rPr>
          <w:rFonts w:cstheme="minorHAnsi"/>
          <w:i/>
        </w:rPr>
        <w:t>p</w:t>
      </w:r>
      <w:r w:rsidRPr="00830BAD">
        <w:rPr>
          <w:rFonts w:cstheme="minorHAnsi"/>
        </w:rPr>
        <w:t xml:space="preserve"> 0.002 (&lt; 0.005).</w:t>
      </w:r>
    </w:p>
    <w:p w14:paraId="67179731" w14:textId="46EA7A4E" w:rsidR="00D8025E" w:rsidRPr="00830BAD" w:rsidRDefault="00F60A0F" w:rsidP="00394FD6">
      <w:pPr>
        <w:spacing w:after="0" w:line="240" w:lineRule="auto"/>
        <w:ind w:firstLine="284"/>
        <w:jc w:val="both"/>
        <w:rPr>
          <w:rFonts w:cstheme="minorHAnsi"/>
        </w:rPr>
      </w:pPr>
      <w:r>
        <w:rPr>
          <w:rFonts w:cstheme="minorHAnsi"/>
        </w:rPr>
        <w:t>A multivariate analysis using a backward logistics regression equation</w:t>
      </w:r>
      <w:r w:rsidR="007A3F07" w:rsidRPr="00830BAD">
        <w:rPr>
          <w:rFonts w:cstheme="minorHAnsi"/>
        </w:rPr>
        <w:t xml:space="preserve"> found that a variable that strongly affects dysmenor</w:t>
      </w:r>
      <w:r w:rsidR="00065988">
        <w:rPr>
          <w:rFonts w:cstheme="minorHAnsi"/>
        </w:rPr>
        <w:t>rhea</w:t>
      </w:r>
      <w:r w:rsidR="007A3F07" w:rsidRPr="00830BAD">
        <w:rPr>
          <w:rFonts w:cstheme="minorHAnsi"/>
        </w:rPr>
        <w:t xml:space="preserve"> is stress with the </w:t>
      </w:r>
      <w:r w:rsidR="007A3F07" w:rsidRPr="00830BAD">
        <w:rPr>
          <w:rFonts w:cstheme="minorHAnsi"/>
          <w:i/>
        </w:rPr>
        <w:t>value p</w:t>
      </w:r>
      <w:r w:rsidR="007A3F07" w:rsidRPr="00830BAD">
        <w:rPr>
          <w:rFonts w:cstheme="minorHAnsi"/>
        </w:rPr>
        <w:t xml:space="preserve"> = 0.000 and prostaglandins with a </w:t>
      </w:r>
      <w:r w:rsidR="007A3F07" w:rsidRPr="00830BAD">
        <w:rPr>
          <w:rFonts w:cstheme="minorHAnsi"/>
          <w:i/>
        </w:rPr>
        <w:t>value p</w:t>
      </w:r>
      <w:r w:rsidR="007A3F07" w:rsidRPr="00830BAD">
        <w:rPr>
          <w:rFonts w:cstheme="minorHAnsi"/>
        </w:rPr>
        <w:t xml:space="preserve"> = 0.003 compared to other variables. Increased levels of prostaglandins proved to have been found in menstrual fluid in women with severe dysmenorrhea, especially during the first two days of menstruation. Painful menstruation affects the biochemical and cellular processes throughout the body, including the brain and psychological. During stress, the body will produce excessive adrenal, estrogen, progesterone</w:t>
      </w:r>
      <w:r w:rsidR="00065988">
        <w:rPr>
          <w:rFonts w:cstheme="minorHAnsi"/>
        </w:rPr>
        <w:t>,</w:t>
      </w:r>
      <w:r w:rsidR="007A3F07" w:rsidRPr="00830BAD">
        <w:rPr>
          <w:rFonts w:cstheme="minorHAnsi"/>
        </w:rPr>
        <w:t xml:space="preserve"> and prostaglandin hormones. Increased estrogen hormones may </w:t>
      </w:r>
      <w:r w:rsidR="00285506">
        <w:rPr>
          <w:rFonts w:cstheme="minorHAnsi"/>
        </w:rPr>
        <w:t>increase</w:t>
      </w:r>
      <w:r w:rsidR="007A3F07" w:rsidRPr="00830BAD">
        <w:rPr>
          <w:rFonts w:cstheme="minorHAnsi"/>
        </w:rPr>
        <w:t xml:space="preserve"> excessive uterine contractions. In addition, increased adrenal hormones can cause muscle tension of the uterus,</w:t>
      </w:r>
      <w:r w:rsidR="00637B48">
        <w:rPr>
          <w:rFonts w:cstheme="minorHAnsi"/>
        </w:rPr>
        <w:t xml:space="preserve"> which makes excessive contraction so </w:t>
      </w:r>
      <w:r w:rsidR="00B00C5C">
        <w:rPr>
          <w:rFonts w:cstheme="minorHAnsi"/>
        </w:rPr>
        <w:t>which</w:t>
      </w:r>
      <w:r w:rsidR="007A3F07" w:rsidRPr="00830BAD">
        <w:rPr>
          <w:rFonts w:cstheme="minorHAnsi"/>
        </w:rPr>
        <w:t xml:space="preserve"> will cause a taste of</w:t>
      </w:r>
      <w:r w:rsidR="00637B48">
        <w:rPr>
          <w:rFonts w:cstheme="minorHAnsi"/>
        </w:rPr>
        <w:t xml:space="preserve"> pain</w:t>
      </w:r>
      <w:r w:rsidR="00B61CD7">
        <w:rPr>
          <w:rFonts w:cstheme="minorHAnsi"/>
        </w:rPr>
        <w:t>.</w:t>
      </w:r>
      <w:r w:rsidR="0060077E">
        <w:rPr>
          <w:rFonts w:cstheme="minorHAnsi"/>
        </w:rPr>
        <w:fldChar w:fldCharType="begin" w:fldLock="1"/>
      </w:r>
      <w:r w:rsidR="0060077E">
        <w:rPr>
          <w:rFonts w:cstheme="minorHAnsi"/>
        </w:rPr>
        <w:instrText>ADDIN CSL_CITATION {"citationItems":[{"id":"ITEM-1","itemData":{"author":[{"dropping-particle":"","family":"Mou","given":"Lingli","non-dropping-particle":"","parse-names":false,"suffix":""},{"dropping-particle":"","family":"Lei","given":"Wei","non-dropping-particle":"","parse-names":false,"suffix":""},{"dropping-particle":"","family":"Chen","given":"Jing","non-dropping-particle":"","parse-names":false,"suffix":""},{"dropping-particle":"","family":"Zhang","given":"Rong","non-dropping-particle":"","parse-names":false,"suffix":""},{"dropping-particle":"","family":"Liu","given":"Kezhi","non-dropping-particle":"","parse-names":false,"suffix":""},{"dropping-particle":"","family":"Liang","given":"Xuemei","non-dropping-particle":"","parse-names":false,"suffix":""}],"container-title":"General psychiatry","id":"ITEM-1","issue":"1","issued":{"date-parts":[["2019"]]},"publisher":"Shanghai Mental Health Center","title":"Mediating effect of interpersonal relations on negative emotions and dysmenorrhea in female adolescents","type":"article-journal","volume":"32"},"uris":["http://www.mendeley.com/documents/?uuid=3a788423-ebd1-4e1e-bc3d-bda2958aab3a"]},{"id":"ITEM-2","itemData":{"ISSN":"0300-9734","author":[{"dropping-particle":"","family":"Unsal","given":"Alaettin","non-dropping-particle":"","parse-names":false,"suffix":""},{"dropping-particle":"","family":"Ayranci","given":"Unal","non-dropping-particle":"","parse-names":false,"suffix":""},{"dropping-particle":"","family":"Tozun","given":"Mustafa","non-dropping-particle":"","parse-names":false,"suffix":""},{"dropping-particle":"","family":"Arslan","given":"Gul","non-dropping-particle":"","parse-names":false,"suffix":""},{"dropping-particle":"","family":"Calik","given":"Elif","non-dropping-particle":"","parse-names":false,"suffix":""}],"container-title":"Upsala journal of medical sciences","id":"ITEM-2","issue":"2","issued":{"date-parts":[["2010"]]},"page":"138-145","publisher":"Taylor &amp; Francis","title":"Prevalence of dysmenorrhea and its effect on quality of life among a group of female university students","type":"article-journal","volume":"115"},"uris":["http://www.mendeley.com/documents/?uuid=fa85c86d-565d-432e-8c99-d656c1950e3f"]}],"mendeley":{"formattedCitation":"&lt;sup&gt;20,21&lt;/sup&gt;","plainTextFormattedCitation":"20,21","previouslyFormattedCitation":"&lt;sup&gt;20,21&lt;/sup&gt;"},"properties":{"noteIndex":0},"schema":"https://github.com/citation-style-language/schema/raw/master/csl-citation.json"}</w:instrText>
      </w:r>
      <w:r w:rsidR="0060077E">
        <w:rPr>
          <w:rFonts w:cstheme="minorHAnsi"/>
        </w:rPr>
        <w:fldChar w:fldCharType="separate"/>
      </w:r>
      <w:r w:rsidR="0060077E" w:rsidRPr="0060077E">
        <w:rPr>
          <w:rFonts w:cstheme="minorHAnsi"/>
          <w:noProof/>
          <w:vertAlign w:val="superscript"/>
        </w:rPr>
        <w:t>20,21</w:t>
      </w:r>
      <w:r w:rsidR="0060077E">
        <w:rPr>
          <w:rFonts w:cstheme="minorHAnsi"/>
        </w:rPr>
        <w:fldChar w:fldCharType="end"/>
      </w:r>
      <w:r w:rsidR="00076ECD" w:rsidRPr="00830BAD">
        <w:rPr>
          <w:rFonts w:eastAsia="Times New Roman" w:cstheme="minorHAnsi"/>
          <w:color w:val="0D0D0D" w:themeColor="text1" w:themeTint="F2"/>
          <w:vertAlign w:val="superscript"/>
        </w:rPr>
        <w:t xml:space="preserve"> </w:t>
      </w:r>
    </w:p>
    <w:p w14:paraId="0F102F56" w14:textId="4F996586" w:rsidR="00D8025E" w:rsidRDefault="00D8025E" w:rsidP="00830BAD">
      <w:pPr>
        <w:spacing w:after="0" w:line="240" w:lineRule="auto"/>
        <w:jc w:val="both"/>
        <w:rPr>
          <w:rFonts w:cstheme="minorHAnsi"/>
          <w:color w:val="000000" w:themeColor="text1"/>
        </w:rPr>
      </w:pPr>
    </w:p>
    <w:p w14:paraId="4AD8AD3B" w14:textId="77777777" w:rsidR="006D3A1E" w:rsidRPr="00830BAD" w:rsidRDefault="006D3A1E" w:rsidP="00830BAD">
      <w:pPr>
        <w:spacing w:after="0" w:line="240" w:lineRule="auto"/>
        <w:jc w:val="both"/>
        <w:rPr>
          <w:rFonts w:cstheme="minorHAnsi"/>
          <w:color w:val="000000" w:themeColor="text1"/>
        </w:rPr>
      </w:pPr>
    </w:p>
    <w:p w14:paraId="7AF4A55E" w14:textId="77777777" w:rsidR="00A10858" w:rsidRPr="00830BAD" w:rsidRDefault="00A10858" w:rsidP="00830BAD">
      <w:pPr>
        <w:spacing w:after="0" w:line="240" w:lineRule="auto"/>
        <w:jc w:val="both"/>
        <w:rPr>
          <w:rFonts w:cstheme="minorHAnsi"/>
          <w:b/>
        </w:rPr>
      </w:pPr>
      <w:r w:rsidRPr="00830BAD">
        <w:rPr>
          <w:rFonts w:cstheme="minorHAnsi"/>
          <w:b/>
        </w:rPr>
        <w:t>Conclusion</w:t>
      </w:r>
    </w:p>
    <w:p w14:paraId="16791105" w14:textId="77777777" w:rsidR="00784C2C" w:rsidRPr="00830BAD" w:rsidRDefault="00784C2C" w:rsidP="00830BAD">
      <w:pPr>
        <w:pStyle w:val="ListParagraph"/>
        <w:spacing w:after="0" w:line="240" w:lineRule="auto"/>
        <w:ind w:left="0"/>
        <w:jc w:val="both"/>
        <w:rPr>
          <w:rFonts w:asciiTheme="minorHAnsi" w:hAnsiTheme="minorHAnsi" w:cstheme="minorHAnsi"/>
          <w:color w:val="000000" w:themeColor="text1"/>
        </w:rPr>
      </w:pPr>
    </w:p>
    <w:p w14:paraId="3D8EA8AF" w14:textId="5E15BECB" w:rsidR="00D8025E" w:rsidRPr="00830BAD" w:rsidRDefault="00A10858" w:rsidP="008E28F9">
      <w:pPr>
        <w:pStyle w:val="ListParagraph"/>
        <w:spacing w:after="0" w:line="240" w:lineRule="auto"/>
        <w:ind w:left="0" w:firstLine="284"/>
        <w:jc w:val="both"/>
        <w:rPr>
          <w:rFonts w:asciiTheme="minorHAnsi" w:eastAsia="Times New Roman" w:hAnsiTheme="minorHAnsi" w:cstheme="minorHAnsi"/>
        </w:rPr>
      </w:pPr>
      <w:r w:rsidRPr="00830BAD">
        <w:rPr>
          <w:rFonts w:asciiTheme="minorHAnsi" w:eastAsia="Times New Roman" w:hAnsiTheme="minorHAnsi" w:cstheme="minorHAnsi"/>
        </w:rPr>
        <w:t>Levels of prostaglandins (pgf2α) affect the incidence of dysmenorrhea in the event of a change in the period of menstrual hormones</w:t>
      </w:r>
      <w:r w:rsidR="005D5B20">
        <w:rPr>
          <w:rFonts w:asciiTheme="minorHAnsi" w:eastAsia="Times New Roman" w:hAnsiTheme="minorHAnsi" w:cstheme="minorHAnsi"/>
        </w:rPr>
        <w:t>,</w:t>
      </w:r>
      <w:r w:rsidRPr="00830BAD">
        <w:rPr>
          <w:rFonts w:asciiTheme="minorHAnsi" w:eastAsia="Times New Roman" w:hAnsiTheme="minorHAnsi" w:cstheme="minorHAnsi"/>
        </w:rPr>
        <w:t xml:space="preserve"> i.e.</w:t>
      </w:r>
      <w:r w:rsidR="005D5B20">
        <w:rPr>
          <w:rFonts w:asciiTheme="minorHAnsi" w:eastAsia="Times New Roman" w:hAnsiTheme="minorHAnsi" w:cstheme="minorHAnsi"/>
        </w:rPr>
        <w:t>,</w:t>
      </w:r>
      <w:r w:rsidRPr="00830BAD">
        <w:rPr>
          <w:rFonts w:asciiTheme="minorHAnsi" w:eastAsia="Times New Roman" w:hAnsiTheme="minorHAnsi" w:cstheme="minorHAnsi"/>
        </w:rPr>
        <w:t xml:space="preserve"> prostaglandins can reduce or temporarily inhibit the blood supply to the uterus</w:t>
      </w:r>
      <w:r w:rsidR="005D5B20">
        <w:rPr>
          <w:rFonts w:asciiTheme="minorHAnsi" w:eastAsia="Times New Roman" w:hAnsiTheme="minorHAnsi" w:cstheme="minorHAnsi"/>
        </w:rPr>
        <w:t>,</w:t>
      </w:r>
      <w:r w:rsidRPr="00830BAD">
        <w:rPr>
          <w:rFonts w:asciiTheme="minorHAnsi" w:eastAsia="Times New Roman" w:hAnsiTheme="minorHAnsi" w:cstheme="minorHAnsi"/>
        </w:rPr>
        <w:t xml:space="preserve"> causing the uterus to lack oxygen and cause myometrium contraction so that there is pain. </w:t>
      </w:r>
      <w:r w:rsidR="005D5B20">
        <w:rPr>
          <w:rFonts w:asciiTheme="minorHAnsi" w:eastAsia="Times New Roman" w:hAnsiTheme="minorHAnsi" w:cstheme="minorHAnsi"/>
        </w:rPr>
        <w:t>Furthermore, s</w:t>
      </w:r>
      <w:r w:rsidRPr="00830BAD">
        <w:rPr>
          <w:rFonts w:asciiTheme="minorHAnsi" w:eastAsia="Times New Roman" w:hAnsiTheme="minorHAnsi" w:cstheme="minorHAnsi"/>
        </w:rPr>
        <w:t>tress is very influential with dysmenorrhea</w:t>
      </w:r>
      <w:r w:rsidR="005D5B20">
        <w:rPr>
          <w:rFonts w:asciiTheme="minorHAnsi" w:eastAsia="Times New Roman" w:hAnsiTheme="minorHAnsi" w:cstheme="minorHAnsi"/>
        </w:rPr>
        <w:t>,</w:t>
      </w:r>
      <w:r w:rsidRPr="00830BAD">
        <w:rPr>
          <w:rFonts w:asciiTheme="minorHAnsi" w:eastAsia="Times New Roman" w:hAnsiTheme="minorHAnsi" w:cstheme="minorHAnsi"/>
        </w:rPr>
        <w:t xml:space="preserve"> among other variables</w:t>
      </w:r>
      <w:r w:rsidR="005D5B20">
        <w:rPr>
          <w:rFonts w:asciiTheme="minorHAnsi" w:eastAsia="Times New Roman" w:hAnsiTheme="minorHAnsi" w:cstheme="minorHAnsi"/>
        </w:rPr>
        <w:t>,</w:t>
      </w:r>
      <w:r w:rsidRPr="00830BAD">
        <w:rPr>
          <w:rFonts w:asciiTheme="minorHAnsi" w:eastAsia="Times New Roman" w:hAnsiTheme="minorHAnsi" w:cstheme="minorHAnsi"/>
        </w:rPr>
        <w:t xml:space="preserve"> because</w:t>
      </w:r>
      <w:r w:rsidR="00065988">
        <w:rPr>
          <w:rFonts w:asciiTheme="minorHAnsi" w:eastAsia="Times New Roman" w:hAnsiTheme="minorHAnsi" w:cstheme="minorHAnsi"/>
        </w:rPr>
        <w:t xml:space="preserve"> of</w:t>
      </w:r>
      <w:r w:rsidRPr="00830BAD">
        <w:rPr>
          <w:rFonts w:asciiTheme="minorHAnsi" w:eastAsia="Times New Roman" w:hAnsiTheme="minorHAnsi" w:cstheme="minorHAnsi"/>
        </w:rPr>
        <w:t xml:space="preserve"> the more stressful one in the face of a problem th</w:t>
      </w:r>
      <w:r w:rsidR="00065988">
        <w:rPr>
          <w:rFonts w:asciiTheme="minorHAnsi" w:eastAsia="Times New Roman" w:hAnsiTheme="minorHAnsi" w:cstheme="minorHAnsi"/>
        </w:rPr>
        <w:t>a</w:t>
      </w:r>
      <w:r w:rsidRPr="00830BAD">
        <w:rPr>
          <w:rFonts w:asciiTheme="minorHAnsi" w:eastAsia="Times New Roman" w:hAnsiTheme="minorHAnsi" w:cstheme="minorHAnsi"/>
        </w:rPr>
        <w:t xml:space="preserve">n the pain that is felt when menstruation is increasing so that stress can interfere with the work of the endocrine system. A person with </w:t>
      </w:r>
      <w:r w:rsidR="00065988">
        <w:rPr>
          <w:rFonts w:asciiTheme="minorHAnsi" w:eastAsia="Times New Roman" w:hAnsiTheme="minorHAnsi" w:cstheme="minorHAnsi"/>
        </w:rPr>
        <w:t xml:space="preserve">an </w:t>
      </w:r>
      <w:r w:rsidRPr="00830BAD">
        <w:rPr>
          <w:rFonts w:asciiTheme="minorHAnsi" w:eastAsia="Times New Roman" w:hAnsiTheme="minorHAnsi" w:cstheme="minorHAnsi"/>
        </w:rPr>
        <w:t>insufficient intake of nutrients has a higher risk of being affected by Dysmenore. For that, teenagers must meet the intake of macronutrients consisting of carbohydrates, proteins</w:t>
      </w:r>
      <w:r w:rsidR="00065988">
        <w:rPr>
          <w:rFonts w:asciiTheme="minorHAnsi" w:eastAsia="Times New Roman" w:hAnsiTheme="minorHAnsi" w:cstheme="minorHAnsi"/>
        </w:rPr>
        <w:t>,</w:t>
      </w:r>
      <w:r w:rsidRPr="00830BAD">
        <w:rPr>
          <w:rFonts w:asciiTheme="minorHAnsi" w:eastAsia="Times New Roman" w:hAnsiTheme="minorHAnsi" w:cstheme="minorHAnsi"/>
        </w:rPr>
        <w:t xml:space="preserve"> and fats</w:t>
      </w:r>
      <w:r w:rsidR="00065988">
        <w:rPr>
          <w:rFonts w:asciiTheme="minorHAnsi" w:eastAsia="Times New Roman" w:hAnsiTheme="minorHAnsi" w:cstheme="minorHAnsi"/>
        </w:rPr>
        <w:t>,</w:t>
      </w:r>
      <w:r w:rsidRPr="00830BAD">
        <w:rPr>
          <w:rFonts w:asciiTheme="minorHAnsi" w:eastAsia="Times New Roman" w:hAnsiTheme="minorHAnsi" w:cstheme="minorHAnsi"/>
        </w:rPr>
        <w:t xml:space="preserve"> especially during menstruation.</w:t>
      </w:r>
    </w:p>
    <w:p w14:paraId="24EA206F" w14:textId="7DBC52B3" w:rsidR="00135E8E" w:rsidRDefault="00135E8E" w:rsidP="00830BAD">
      <w:pPr>
        <w:pStyle w:val="ListParagraph"/>
        <w:spacing w:after="0" w:line="240" w:lineRule="auto"/>
        <w:ind w:left="0"/>
        <w:jc w:val="both"/>
        <w:rPr>
          <w:rFonts w:asciiTheme="minorHAnsi" w:eastAsia="Times New Roman" w:hAnsiTheme="minorHAnsi" w:cstheme="minorHAnsi"/>
        </w:rPr>
      </w:pPr>
    </w:p>
    <w:p w14:paraId="3CBD9211" w14:textId="77777777" w:rsidR="006D3A1E" w:rsidRPr="00830BAD" w:rsidRDefault="006D3A1E" w:rsidP="00830BAD">
      <w:pPr>
        <w:pStyle w:val="ListParagraph"/>
        <w:spacing w:after="0" w:line="240" w:lineRule="auto"/>
        <w:ind w:left="0"/>
        <w:jc w:val="both"/>
        <w:rPr>
          <w:rFonts w:asciiTheme="minorHAnsi" w:eastAsia="Times New Roman" w:hAnsiTheme="minorHAnsi" w:cstheme="minorHAnsi"/>
        </w:rPr>
      </w:pPr>
    </w:p>
    <w:p w14:paraId="44EB1A84" w14:textId="77777777" w:rsidR="00830BAD" w:rsidRPr="00830BAD" w:rsidRDefault="00830BAD" w:rsidP="00830BAD">
      <w:pPr>
        <w:spacing w:after="0" w:line="240" w:lineRule="auto"/>
        <w:jc w:val="both"/>
        <w:rPr>
          <w:rFonts w:cstheme="minorHAnsi"/>
          <w:b/>
        </w:rPr>
      </w:pPr>
      <w:r w:rsidRPr="00830BAD">
        <w:rPr>
          <w:rFonts w:cstheme="minorHAnsi"/>
          <w:b/>
        </w:rPr>
        <w:t>References</w:t>
      </w:r>
    </w:p>
    <w:p w14:paraId="0A650BC7" w14:textId="77777777" w:rsidR="007075DC" w:rsidRPr="00830BAD" w:rsidRDefault="007075DC" w:rsidP="00830BAD">
      <w:pPr>
        <w:pStyle w:val="ListParagraph"/>
        <w:spacing w:after="0" w:line="240" w:lineRule="auto"/>
        <w:ind w:left="0"/>
        <w:jc w:val="both"/>
        <w:rPr>
          <w:rFonts w:asciiTheme="minorHAnsi" w:eastAsia="Times New Roman" w:hAnsiTheme="minorHAnsi" w:cstheme="minorHAnsi"/>
          <w:b/>
        </w:rPr>
      </w:pPr>
    </w:p>
    <w:p w14:paraId="10F7CC82" w14:textId="624F1988" w:rsidR="0060077E" w:rsidRPr="0060077E" w:rsidRDefault="00694C28" w:rsidP="00191606">
      <w:pPr>
        <w:widowControl w:val="0"/>
        <w:tabs>
          <w:tab w:val="left" w:pos="426"/>
        </w:tabs>
        <w:autoSpaceDE w:val="0"/>
        <w:autoSpaceDN w:val="0"/>
        <w:adjustRightInd w:val="0"/>
        <w:spacing w:after="0" w:line="240" w:lineRule="auto"/>
        <w:ind w:left="426" w:hanging="426"/>
        <w:jc w:val="both"/>
        <w:rPr>
          <w:rFonts w:ascii="Calibri" w:hAnsi="Calibri" w:cs="Calibri"/>
          <w:noProof/>
          <w:szCs w:val="24"/>
        </w:rPr>
      </w:pPr>
      <w:r w:rsidRPr="00830BAD">
        <w:rPr>
          <w:rFonts w:eastAsia="Times New Roman" w:cstheme="minorHAnsi"/>
          <w:b/>
          <w:noProof/>
          <w:highlight w:val="lightGray"/>
        </w:rPr>
        <w:fldChar w:fldCharType="begin" w:fldLock="1"/>
      </w:r>
      <w:r w:rsidRPr="00830BAD">
        <w:rPr>
          <w:rFonts w:eastAsia="Times New Roman" w:cstheme="minorHAnsi"/>
          <w:b/>
          <w:noProof/>
          <w:highlight w:val="lightGray"/>
        </w:rPr>
        <w:instrText xml:space="preserve">ADDIN Mendeley Bibliography CSL_BIBLIOGRAPHY </w:instrText>
      </w:r>
      <w:r w:rsidRPr="00830BAD">
        <w:rPr>
          <w:rFonts w:eastAsia="Times New Roman" w:cstheme="minorHAnsi"/>
          <w:b/>
          <w:noProof/>
          <w:highlight w:val="lightGray"/>
        </w:rPr>
        <w:fldChar w:fldCharType="separate"/>
      </w:r>
      <w:r w:rsidR="0060077E" w:rsidRPr="0060077E">
        <w:rPr>
          <w:rFonts w:ascii="Calibri" w:hAnsi="Calibri" w:cs="Calibri"/>
          <w:noProof/>
          <w:szCs w:val="24"/>
        </w:rPr>
        <w:t xml:space="preserve">1. </w:t>
      </w:r>
      <w:r w:rsidR="0060077E" w:rsidRPr="0060077E">
        <w:rPr>
          <w:rFonts w:ascii="Calibri" w:hAnsi="Calibri" w:cs="Calibri"/>
          <w:noProof/>
          <w:szCs w:val="24"/>
        </w:rPr>
        <w:tab/>
        <w:t xml:space="preserve">Acheampong K et al. Prevalence and predictors of dysmenorrhea, its effect, and coping mechanisms among adolescents in Shai Osudoku District, Ghana. Obstet Gynecol Int. 2019;2019. </w:t>
      </w:r>
    </w:p>
    <w:p w14:paraId="0D6D4C21" w14:textId="45A8163B" w:rsidR="0060077E" w:rsidRPr="0060077E" w:rsidRDefault="0060077E" w:rsidP="00191606">
      <w:pPr>
        <w:widowControl w:val="0"/>
        <w:tabs>
          <w:tab w:val="left" w:pos="426"/>
        </w:tabs>
        <w:autoSpaceDE w:val="0"/>
        <w:autoSpaceDN w:val="0"/>
        <w:adjustRightInd w:val="0"/>
        <w:spacing w:after="0" w:line="240" w:lineRule="auto"/>
        <w:ind w:left="426" w:hanging="426"/>
        <w:jc w:val="both"/>
        <w:rPr>
          <w:rFonts w:ascii="Calibri" w:hAnsi="Calibri" w:cs="Calibri"/>
          <w:noProof/>
          <w:szCs w:val="24"/>
        </w:rPr>
      </w:pPr>
      <w:r w:rsidRPr="0060077E">
        <w:rPr>
          <w:rFonts w:ascii="Calibri" w:hAnsi="Calibri" w:cs="Calibri"/>
          <w:noProof/>
          <w:szCs w:val="24"/>
        </w:rPr>
        <w:t xml:space="preserve">2. </w:t>
      </w:r>
      <w:r w:rsidRPr="0060077E">
        <w:rPr>
          <w:rFonts w:ascii="Calibri" w:hAnsi="Calibri" w:cs="Calibri"/>
          <w:noProof/>
          <w:szCs w:val="24"/>
        </w:rPr>
        <w:tab/>
        <w:t xml:space="preserve">Al-Matouq S et al. </w:t>
      </w:r>
      <w:r w:rsidR="0028397F">
        <w:rPr>
          <w:rFonts w:ascii="Calibri" w:hAnsi="Calibri" w:cs="Calibri"/>
          <w:noProof/>
          <w:szCs w:val="24"/>
        </w:rPr>
        <w:t>d</w:t>
      </w:r>
      <w:r w:rsidRPr="0060077E">
        <w:rPr>
          <w:rFonts w:ascii="Calibri" w:hAnsi="Calibri" w:cs="Calibri"/>
          <w:noProof/>
          <w:szCs w:val="24"/>
        </w:rPr>
        <w:t xml:space="preserve">ysmenorrhea among high-school students and its associated factors in Kuwait. BMC Pediatr. 2019;19(1):1–12. </w:t>
      </w:r>
    </w:p>
    <w:p w14:paraId="350E4A9B" w14:textId="77777777" w:rsidR="0060077E" w:rsidRPr="0060077E" w:rsidRDefault="0060077E" w:rsidP="00191606">
      <w:pPr>
        <w:widowControl w:val="0"/>
        <w:tabs>
          <w:tab w:val="left" w:pos="426"/>
        </w:tabs>
        <w:autoSpaceDE w:val="0"/>
        <w:autoSpaceDN w:val="0"/>
        <w:adjustRightInd w:val="0"/>
        <w:spacing w:after="0" w:line="240" w:lineRule="auto"/>
        <w:ind w:left="426" w:hanging="426"/>
        <w:jc w:val="both"/>
        <w:rPr>
          <w:rFonts w:ascii="Calibri" w:hAnsi="Calibri" w:cs="Calibri"/>
          <w:noProof/>
          <w:szCs w:val="24"/>
        </w:rPr>
      </w:pPr>
      <w:r w:rsidRPr="0060077E">
        <w:rPr>
          <w:rFonts w:ascii="Calibri" w:hAnsi="Calibri" w:cs="Calibri"/>
          <w:noProof/>
          <w:szCs w:val="24"/>
        </w:rPr>
        <w:t xml:space="preserve">3. </w:t>
      </w:r>
      <w:r w:rsidRPr="0060077E">
        <w:rPr>
          <w:rFonts w:ascii="Calibri" w:hAnsi="Calibri" w:cs="Calibri"/>
          <w:noProof/>
          <w:szCs w:val="24"/>
        </w:rPr>
        <w:tab/>
        <w:t xml:space="preserve">Chen CX, Draucker CB, Carpenter JS. China Supply Custom Plastic Crate Storage Crates Products Cheap Price-Zhongyi Plastic Technology Co., Ltd. BMC Womens Health. 2018;18. </w:t>
      </w:r>
    </w:p>
    <w:p w14:paraId="0050F421" w14:textId="77777777" w:rsidR="0060077E" w:rsidRPr="0060077E" w:rsidRDefault="0060077E" w:rsidP="00191606">
      <w:pPr>
        <w:widowControl w:val="0"/>
        <w:tabs>
          <w:tab w:val="left" w:pos="426"/>
        </w:tabs>
        <w:autoSpaceDE w:val="0"/>
        <w:autoSpaceDN w:val="0"/>
        <w:adjustRightInd w:val="0"/>
        <w:spacing w:after="0" w:line="240" w:lineRule="auto"/>
        <w:ind w:left="426" w:hanging="426"/>
        <w:jc w:val="both"/>
        <w:rPr>
          <w:rFonts w:ascii="Calibri" w:hAnsi="Calibri" w:cs="Calibri"/>
          <w:noProof/>
          <w:szCs w:val="24"/>
        </w:rPr>
      </w:pPr>
      <w:r w:rsidRPr="0060077E">
        <w:rPr>
          <w:rFonts w:ascii="Calibri" w:hAnsi="Calibri" w:cs="Calibri"/>
          <w:noProof/>
          <w:szCs w:val="24"/>
        </w:rPr>
        <w:t xml:space="preserve">4. </w:t>
      </w:r>
      <w:r w:rsidRPr="0060077E">
        <w:rPr>
          <w:rFonts w:ascii="Calibri" w:hAnsi="Calibri" w:cs="Calibri"/>
          <w:noProof/>
          <w:szCs w:val="24"/>
        </w:rPr>
        <w:tab/>
        <w:t xml:space="preserve">Harris C et al. Changes in dietary intake during puberty and their determinants: results from the GINIplus birth cohort study. BMC Public Health. 2015;15(1):1–19. </w:t>
      </w:r>
    </w:p>
    <w:p w14:paraId="3CB244F8" w14:textId="77777777" w:rsidR="0060077E" w:rsidRPr="0060077E" w:rsidRDefault="0060077E" w:rsidP="00191606">
      <w:pPr>
        <w:widowControl w:val="0"/>
        <w:tabs>
          <w:tab w:val="left" w:pos="426"/>
        </w:tabs>
        <w:autoSpaceDE w:val="0"/>
        <w:autoSpaceDN w:val="0"/>
        <w:adjustRightInd w:val="0"/>
        <w:spacing w:after="0" w:line="240" w:lineRule="auto"/>
        <w:ind w:left="426" w:hanging="426"/>
        <w:jc w:val="both"/>
        <w:rPr>
          <w:rFonts w:ascii="Calibri" w:hAnsi="Calibri" w:cs="Calibri"/>
          <w:noProof/>
          <w:szCs w:val="24"/>
        </w:rPr>
      </w:pPr>
      <w:r w:rsidRPr="0060077E">
        <w:rPr>
          <w:rFonts w:ascii="Calibri" w:hAnsi="Calibri" w:cs="Calibri"/>
          <w:noProof/>
          <w:szCs w:val="24"/>
        </w:rPr>
        <w:t xml:space="preserve">5. </w:t>
      </w:r>
      <w:r w:rsidRPr="0060077E">
        <w:rPr>
          <w:rFonts w:ascii="Calibri" w:hAnsi="Calibri" w:cs="Calibri"/>
          <w:noProof/>
          <w:szCs w:val="24"/>
        </w:rPr>
        <w:tab/>
        <w:t xml:space="preserve">Aboushady RM-N, El-Saidy TMK. Effect of home based stretching exercises and menstrual care on primary dysmenorrhea and premenstrual symptoms among adolescent girls. IOSR J Nurs Heal Sci. 2016;5(2):10–7. </w:t>
      </w:r>
    </w:p>
    <w:p w14:paraId="1E0CB3AA" w14:textId="77777777" w:rsidR="0060077E" w:rsidRPr="0060077E" w:rsidRDefault="0060077E" w:rsidP="00191606">
      <w:pPr>
        <w:widowControl w:val="0"/>
        <w:tabs>
          <w:tab w:val="left" w:pos="426"/>
        </w:tabs>
        <w:autoSpaceDE w:val="0"/>
        <w:autoSpaceDN w:val="0"/>
        <w:adjustRightInd w:val="0"/>
        <w:spacing w:after="0" w:line="240" w:lineRule="auto"/>
        <w:ind w:left="426" w:hanging="426"/>
        <w:jc w:val="both"/>
        <w:rPr>
          <w:rFonts w:ascii="Calibri" w:hAnsi="Calibri" w:cs="Calibri"/>
          <w:noProof/>
          <w:szCs w:val="24"/>
        </w:rPr>
      </w:pPr>
      <w:r w:rsidRPr="0060077E">
        <w:rPr>
          <w:rFonts w:ascii="Calibri" w:hAnsi="Calibri" w:cs="Calibri"/>
          <w:noProof/>
          <w:szCs w:val="24"/>
        </w:rPr>
        <w:lastRenderedPageBreak/>
        <w:t xml:space="preserve">6. </w:t>
      </w:r>
      <w:r w:rsidRPr="0060077E">
        <w:rPr>
          <w:rFonts w:ascii="Calibri" w:hAnsi="Calibri" w:cs="Calibri"/>
          <w:noProof/>
          <w:szCs w:val="24"/>
        </w:rPr>
        <w:tab/>
        <w:t xml:space="preserve">Hailemeskel S, Demissie A, Assefa N. Primary dysmenorrhea magnitude, associated risk factors, and its effect on academic performance: evidence from female university students in Ethiopia. Int J Womens Health. 2016;8:489. </w:t>
      </w:r>
    </w:p>
    <w:p w14:paraId="68555340" w14:textId="77777777" w:rsidR="0060077E" w:rsidRPr="0060077E" w:rsidRDefault="0060077E" w:rsidP="00191606">
      <w:pPr>
        <w:widowControl w:val="0"/>
        <w:tabs>
          <w:tab w:val="left" w:pos="426"/>
        </w:tabs>
        <w:autoSpaceDE w:val="0"/>
        <w:autoSpaceDN w:val="0"/>
        <w:adjustRightInd w:val="0"/>
        <w:spacing w:after="0" w:line="240" w:lineRule="auto"/>
        <w:ind w:left="426" w:hanging="426"/>
        <w:jc w:val="both"/>
        <w:rPr>
          <w:rFonts w:ascii="Calibri" w:hAnsi="Calibri" w:cs="Calibri"/>
          <w:noProof/>
          <w:szCs w:val="24"/>
        </w:rPr>
      </w:pPr>
      <w:r w:rsidRPr="0060077E">
        <w:rPr>
          <w:rFonts w:ascii="Calibri" w:hAnsi="Calibri" w:cs="Calibri"/>
          <w:noProof/>
          <w:szCs w:val="24"/>
        </w:rPr>
        <w:t xml:space="preserve">7. </w:t>
      </w:r>
      <w:r w:rsidRPr="0060077E">
        <w:rPr>
          <w:rFonts w:ascii="Calibri" w:hAnsi="Calibri" w:cs="Calibri"/>
          <w:noProof/>
          <w:szCs w:val="24"/>
        </w:rPr>
        <w:tab/>
        <w:t xml:space="preserve">Shehata NAA et al. Epidemiology of dysmenorrhea among university students in Egypt. Int J Womens Heal Wellness. 2018;4(1):73. </w:t>
      </w:r>
    </w:p>
    <w:p w14:paraId="2C67BDEE" w14:textId="77777777" w:rsidR="0060077E" w:rsidRPr="0060077E" w:rsidRDefault="0060077E" w:rsidP="00191606">
      <w:pPr>
        <w:widowControl w:val="0"/>
        <w:tabs>
          <w:tab w:val="left" w:pos="426"/>
        </w:tabs>
        <w:autoSpaceDE w:val="0"/>
        <w:autoSpaceDN w:val="0"/>
        <w:adjustRightInd w:val="0"/>
        <w:spacing w:after="0" w:line="240" w:lineRule="auto"/>
        <w:ind w:left="426" w:hanging="426"/>
        <w:jc w:val="both"/>
        <w:rPr>
          <w:rFonts w:ascii="Calibri" w:hAnsi="Calibri" w:cs="Calibri"/>
          <w:noProof/>
          <w:szCs w:val="24"/>
        </w:rPr>
      </w:pPr>
      <w:r w:rsidRPr="0060077E">
        <w:rPr>
          <w:rFonts w:ascii="Calibri" w:hAnsi="Calibri" w:cs="Calibri"/>
          <w:noProof/>
          <w:szCs w:val="24"/>
        </w:rPr>
        <w:t xml:space="preserve">8. </w:t>
      </w:r>
      <w:r w:rsidRPr="0060077E">
        <w:rPr>
          <w:rFonts w:ascii="Calibri" w:hAnsi="Calibri" w:cs="Calibri"/>
          <w:noProof/>
          <w:szCs w:val="24"/>
        </w:rPr>
        <w:tab/>
        <w:t xml:space="preserve">Orimadegun BE, Awolude OA, Agbedana EO. Markers of lipid and protein peroxidation among Nigerian university students with dysmenorrhea. Niger J Clin Pract. 2019;22(2):174. </w:t>
      </w:r>
    </w:p>
    <w:p w14:paraId="22EE1AB8" w14:textId="77777777" w:rsidR="0060077E" w:rsidRPr="0060077E" w:rsidRDefault="0060077E" w:rsidP="00191606">
      <w:pPr>
        <w:widowControl w:val="0"/>
        <w:tabs>
          <w:tab w:val="left" w:pos="426"/>
        </w:tabs>
        <w:autoSpaceDE w:val="0"/>
        <w:autoSpaceDN w:val="0"/>
        <w:adjustRightInd w:val="0"/>
        <w:spacing w:after="0" w:line="240" w:lineRule="auto"/>
        <w:ind w:left="426" w:hanging="426"/>
        <w:jc w:val="both"/>
        <w:rPr>
          <w:rFonts w:ascii="Calibri" w:hAnsi="Calibri" w:cs="Calibri"/>
          <w:noProof/>
          <w:szCs w:val="24"/>
        </w:rPr>
      </w:pPr>
      <w:r w:rsidRPr="0060077E">
        <w:rPr>
          <w:rFonts w:ascii="Calibri" w:hAnsi="Calibri" w:cs="Calibri"/>
          <w:noProof/>
          <w:szCs w:val="24"/>
        </w:rPr>
        <w:t xml:space="preserve">9. </w:t>
      </w:r>
      <w:r w:rsidRPr="0060077E">
        <w:rPr>
          <w:rFonts w:ascii="Calibri" w:hAnsi="Calibri" w:cs="Calibri"/>
          <w:noProof/>
          <w:szCs w:val="24"/>
        </w:rPr>
        <w:tab/>
        <w:t xml:space="preserve">Ramli N, Santy P. Efektifitas Pemberian Ramuan Jahe (Zingibers officinale) dan Teh Rosella (Hibiscus sabdariffa) terhadap Perubahan Intensitas Nyeri Haid. AcTion Aceh Nutr J. 2017;2(1):61–6. </w:t>
      </w:r>
    </w:p>
    <w:p w14:paraId="2383D4B8" w14:textId="77777777" w:rsidR="0060077E" w:rsidRPr="0060077E" w:rsidRDefault="0060077E" w:rsidP="00191606">
      <w:pPr>
        <w:widowControl w:val="0"/>
        <w:tabs>
          <w:tab w:val="left" w:pos="426"/>
        </w:tabs>
        <w:autoSpaceDE w:val="0"/>
        <w:autoSpaceDN w:val="0"/>
        <w:adjustRightInd w:val="0"/>
        <w:spacing w:after="0" w:line="240" w:lineRule="auto"/>
        <w:ind w:left="426" w:hanging="426"/>
        <w:jc w:val="both"/>
        <w:rPr>
          <w:rFonts w:ascii="Calibri" w:hAnsi="Calibri" w:cs="Calibri"/>
          <w:noProof/>
          <w:szCs w:val="24"/>
        </w:rPr>
      </w:pPr>
      <w:r w:rsidRPr="0060077E">
        <w:rPr>
          <w:rFonts w:ascii="Calibri" w:hAnsi="Calibri" w:cs="Calibri"/>
          <w:noProof/>
          <w:szCs w:val="24"/>
        </w:rPr>
        <w:t xml:space="preserve">10. </w:t>
      </w:r>
      <w:r w:rsidRPr="0060077E">
        <w:rPr>
          <w:rFonts w:ascii="Calibri" w:hAnsi="Calibri" w:cs="Calibri"/>
          <w:noProof/>
          <w:szCs w:val="24"/>
        </w:rPr>
        <w:tab/>
        <w:t xml:space="preserve">Khodakarami B et al. The severity of dysmenorrhea and its relationship with body mass index among female adolescents in Hamadan, Iran. J Midwifery Reprod Heal. 2015;3(4):444–50. </w:t>
      </w:r>
    </w:p>
    <w:p w14:paraId="13846273" w14:textId="77777777" w:rsidR="0060077E" w:rsidRPr="0060077E" w:rsidRDefault="0060077E" w:rsidP="00191606">
      <w:pPr>
        <w:widowControl w:val="0"/>
        <w:tabs>
          <w:tab w:val="left" w:pos="426"/>
        </w:tabs>
        <w:autoSpaceDE w:val="0"/>
        <w:autoSpaceDN w:val="0"/>
        <w:adjustRightInd w:val="0"/>
        <w:spacing w:after="0" w:line="240" w:lineRule="auto"/>
        <w:ind w:left="426" w:hanging="426"/>
        <w:jc w:val="both"/>
        <w:rPr>
          <w:rFonts w:ascii="Calibri" w:hAnsi="Calibri" w:cs="Calibri"/>
          <w:noProof/>
          <w:szCs w:val="24"/>
        </w:rPr>
      </w:pPr>
      <w:r w:rsidRPr="0060077E">
        <w:rPr>
          <w:rFonts w:ascii="Calibri" w:hAnsi="Calibri" w:cs="Calibri"/>
          <w:noProof/>
          <w:szCs w:val="24"/>
        </w:rPr>
        <w:t xml:space="preserve">11. </w:t>
      </w:r>
      <w:r w:rsidRPr="0060077E">
        <w:rPr>
          <w:rFonts w:ascii="Calibri" w:hAnsi="Calibri" w:cs="Calibri"/>
          <w:noProof/>
          <w:szCs w:val="24"/>
        </w:rPr>
        <w:tab/>
        <w:t xml:space="preserve">López-Sobaler AM et al. Adequacy of usual macronutrient intake and macronutrient distribution in children and adolescents in Spain: A National Dietary Survey on the Child and Adolescent Population, ENALIA 2013–2014. Eur J Nutr. 2019;58(2):705–19. </w:t>
      </w:r>
    </w:p>
    <w:p w14:paraId="58C193D1" w14:textId="77777777" w:rsidR="0060077E" w:rsidRPr="0060077E" w:rsidRDefault="0060077E" w:rsidP="00191606">
      <w:pPr>
        <w:widowControl w:val="0"/>
        <w:tabs>
          <w:tab w:val="left" w:pos="426"/>
        </w:tabs>
        <w:autoSpaceDE w:val="0"/>
        <w:autoSpaceDN w:val="0"/>
        <w:adjustRightInd w:val="0"/>
        <w:spacing w:after="0" w:line="240" w:lineRule="auto"/>
        <w:ind w:left="426" w:hanging="426"/>
        <w:jc w:val="both"/>
        <w:rPr>
          <w:rFonts w:ascii="Calibri" w:hAnsi="Calibri" w:cs="Calibri"/>
          <w:noProof/>
          <w:szCs w:val="24"/>
        </w:rPr>
      </w:pPr>
      <w:r w:rsidRPr="0060077E">
        <w:rPr>
          <w:rFonts w:ascii="Calibri" w:hAnsi="Calibri" w:cs="Calibri"/>
          <w:noProof/>
          <w:szCs w:val="24"/>
        </w:rPr>
        <w:t xml:space="preserve">12. </w:t>
      </w:r>
      <w:r w:rsidRPr="0060077E">
        <w:rPr>
          <w:rFonts w:ascii="Calibri" w:hAnsi="Calibri" w:cs="Calibri"/>
          <w:noProof/>
          <w:szCs w:val="24"/>
        </w:rPr>
        <w:tab/>
        <w:t xml:space="preserve">Rejeki S, Eldaniati E. Intensitas Nyeri Haid Primer Melalui Senam Dismenore Pada Mahasiswi Di Pondok Pesantren K.H Sahla Rosjidi Universitas Muhammadiyah Semarang. In: Prosiding Seminar Nasional Unimus. 2018. p. 183–193. </w:t>
      </w:r>
    </w:p>
    <w:p w14:paraId="1550A20E" w14:textId="77777777" w:rsidR="0060077E" w:rsidRPr="0060077E" w:rsidRDefault="0060077E" w:rsidP="00191606">
      <w:pPr>
        <w:widowControl w:val="0"/>
        <w:tabs>
          <w:tab w:val="left" w:pos="426"/>
        </w:tabs>
        <w:autoSpaceDE w:val="0"/>
        <w:autoSpaceDN w:val="0"/>
        <w:adjustRightInd w:val="0"/>
        <w:spacing w:after="0" w:line="240" w:lineRule="auto"/>
        <w:ind w:left="426" w:hanging="426"/>
        <w:jc w:val="both"/>
        <w:rPr>
          <w:rFonts w:ascii="Calibri" w:hAnsi="Calibri" w:cs="Calibri"/>
          <w:noProof/>
          <w:szCs w:val="24"/>
        </w:rPr>
      </w:pPr>
      <w:r w:rsidRPr="0060077E">
        <w:rPr>
          <w:rFonts w:ascii="Calibri" w:hAnsi="Calibri" w:cs="Calibri"/>
          <w:noProof/>
          <w:szCs w:val="24"/>
        </w:rPr>
        <w:t xml:space="preserve">13. </w:t>
      </w:r>
      <w:r w:rsidRPr="0060077E">
        <w:rPr>
          <w:rFonts w:ascii="Calibri" w:hAnsi="Calibri" w:cs="Calibri"/>
          <w:noProof/>
          <w:szCs w:val="24"/>
        </w:rPr>
        <w:tab/>
        <w:t xml:space="preserve">Surmiasih S, Ningrum P. Efektifitas Pemberian Vitamin E Terhadap Penurunan Dismenore pada Siswi Di SMA Negeri I Gading Rejo. Wellness Heal Mag. 2019;1(1):15–21. </w:t>
      </w:r>
    </w:p>
    <w:p w14:paraId="5165A07E" w14:textId="77777777" w:rsidR="0060077E" w:rsidRPr="0060077E" w:rsidRDefault="0060077E" w:rsidP="00191606">
      <w:pPr>
        <w:widowControl w:val="0"/>
        <w:tabs>
          <w:tab w:val="left" w:pos="426"/>
        </w:tabs>
        <w:autoSpaceDE w:val="0"/>
        <w:autoSpaceDN w:val="0"/>
        <w:adjustRightInd w:val="0"/>
        <w:spacing w:after="0" w:line="240" w:lineRule="auto"/>
        <w:ind w:left="426" w:hanging="426"/>
        <w:jc w:val="both"/>
        <w:rPr>
          <w:rFonts w:ascii="Calibri" w:hAnsi="Calibri" w:cs="Calibri"/>
          <w:noProof/>
          <w:szCs w:val="24"/>
        </w:rPr>
      </w:pPr>
      <w:r w:rsidRPr="0060077E">
        <w:rPr>
          <w:rFonts w:ascii="Calibri" w:hAnsi="Calibri" w:cs="Calibri"/>
          <w:noProof/>
          <w:szCs w:val="24"/>
        </w:rPr>
        <w:t xml:space="preserve">14. </w:t>
      </w:r>
      <w:r w:rsidRPr="0060077E">
        <w:rPr>
          <w:rFonts w:ascii="Calibri" w:hAnsi="Calibri" w:cs="Calibri"/>
          <w:noProof/>
          <w:szCs w:val="24"/>
        </w:rPr>
        <w:tab/>
        <w:t xml:space="preserve">Salim HHS, Yuniyanti B. Hubungan Tingkat Stres Dengan Tingkat Dysmenorrhoea Pada Siswi Kelas X Dan Xi SMK Bhakti Karyakota Magelang Tahun 2014. J Kebidanan. 2015;4(9):51–6. </w:t>
      </w:r>
    </w:p>
    <w:p w14:paraId="42CADE76" w14:textId="77777777" w:rsidR="0060077E" w:rsidRPr="0060077E" w:rsidRDefault="0060077E" w:rsidP="00191606">
      <w:pPr>
        <w:widowControl w:val="0"/>
        <w:tabs>
          <w:tab w:val="left" w:pos="426"/>
        </w:tabs>
        <w:autoSpaceDE w:val="0"/>
        <w:autoSpaceDN w:val="0"/>
        <w:adjustRightInd w:val="0"/>
        <w:spacing w:after="0" w:line="240" w:lineRule="auto"/>
        <w:ind w:left="426" w:hanging="426"/>
        <w:jc w:val="both"/>
        <w:rPr>
          <w:rFonts w:ascii="Calibri" w:hAnsi="Calibri" w:cs="Calibri"/>
          <w:noProof/>
          <w:szCs w:val="24"/>
        </w:rPr>
      </w:pPr>
      <w:r w:rsidRPr="0060077E">
        <w:rPr>
          <w:rFonts w:ascii="Calibri" w:hAnsi="Calibri" w:cs="Calibri"/>
          <w:noProof/>
          <w:szCs w:val="24"/>
        </w:rPr>
        <w:t xml:space="preserve">15. </w:t>
      </w:r>
      <w:r w:rsidRPr="0060077E">
        <w:rPr>
          <w:rFonts w:ascii="Calibri" w:hAnsi="Calibri" w:cs="Calibri"/>
          <w:noProof/>
          <w:szCs w:val="24"/>
        </w:rPr>
        <w:tab/>
        <w:t xml:space="preserve">Almatsier S. Prinsip dasar ilmu gizi. Jakarta: Gramedia Pustaka Utama; 2010. </w:t>
      </w:r>
    </w:p>
    <w:p w14:paraId="7BC522CA" w14:textId="77777777" w:rsidR="0060077E" w:rsidRPr="0060077E" w:rsidRDefault="0060077E" w:rsidP="00191606">
      <w:pPr>
        <w:widowControl w:val="0"/>
        <w:tabs>
          <w:tab w:val="left" w:pos="426"/>
        </w:tabs>
        <w:autoSpaceDE w:val="0"/>
        <w:autoSpaceDN w:val="0"/>
        <w:adjustRightInd w:val="0"/>
        <w:spacing w:after="0" w:line="240" w:lineRule="auto"/>
        <w:ind w:left="426" w:hanging="426"/>
        <w:jc w:val="both"/>
        <w:rPr>
          <w:rFonts w:ascii="Calibri" w:hAnsi="Calibri" w:cs="Calibri"/>
          <w:noProof/>
          <w:szCs w:val="24"/>
        </w:rPr>
      </w:pPr>
      <w:r w:rsidRPr="0060077E">
        <w:rPr>
          <w:rFonts w:ascii="Calibri" w:hAnsi="Calibri" w:cs="Calibri"/>
          <w:noProof/>
          <w:szCs w:val="24"/>
        </w:rPr>
        <w:t xml:space="preserve">16. </w:t>
      </w:r>
      <w:r w:rsidRPr="0060077E">
        <w:rPr>
          <w:rFonts w:ascii="Calibri" w:hAnsi="Calibri" w:cs="Calibri"/>
          <w:noProof/>
          <w:szCs w:val="24"/>
        </w:rPr>
        <w:tab/>
        <w:t xml:space="preserve">Cantika HAK, Ardiaria M, Syauqy A. Peran makronutrien dalam sarapan terhadap performa kognitif remaja. J Kedokt Diponegoro. 2017;6(2):611–21. </w:t>
      </w:r>
    </w:p>
    <w:p w14:paraId="54D49BFD" w14:textId="77777777" w:rsidR="0060077E" w:rsidRPr="0060077E" w:rsidRDefault="0060077E" w:rsidP="00191606">
      <w:pPr>
        <w:widowControl w:val="0"/>
        <w:tabs>
          <w:tab w:val="left" w:pos="426"/>
        </w:tabs>
        <w:autoSpaceDE w:val="0"/>
        <w:autoSpaceDN w:val="0"/>
        <w:adjustRightInd w:val="0"/>
        <w:spacing w:after="0" w:line="240" w:lineRule="auto"/>
        <w:ind w:left="426" w:hanging="426"/>
        <w:jc w:val="both"/>
        <w:rPr>
          <w:rFonts w:ascii="Calibri" w:hAnsi="Calibri" w:cs="Calibri"/>
          <w:noProof/>
          <w:szCs w:val="24"/>
        </w:rPr>
      </w:pPr>
      <w:r w:rsidRPr="0060077E">
        <w:rPr>
          <w:rFonts w:ascii="Calibri" w:hAnsi="Calibri" w:cs="Calibri"/>
          <w:noProof/>
          <w:szCs w:val="24"/>
        </w:rPr>
        <w:t xml:space="preserve">17. </w:t>
      </w:r>
      <w:r w:rsidRPr="0060077E">
        <w:rPr>
          <w:rFonts w:ascii="Calibri" w:hAnsi="Calibri" w:cs="Calibri"/>
          <w:noProof/>
          <w:szCs w:val="24"/>
        </w:rPr>
        <w:tab/>
        <w:t xml:space="preserve">Famimah F, Margawati A, Fitranti DY. Hubungan Konsumsi Asam Lemak Omega-3, Aktivitas Fisik Dan Persen Lemak Tubuh Dengan Tingkat Dismenore Pada Remaja. J Nutr Coll. 2017;6(4):268–76. </w:t>
      </w:r>
    </w:p>
    <w:p w14:paraId="7B711571" w14:textId="77777777" w:rsidR="0060077E" w:rsidRPr="0060077E" w:rsidRDefault="0060077E" w:rsidP="00191606">
      <w:pPr>
        <w:widowControl w:val="0"/>
        <w:tabs>
          <w:tab w:val="left" w:pos="426"/>
        </w:tabs>
        <w:autoSpaceDE w:val="0"/>
        <w:autoSpaceDN w:val="0"/>
        <w:adjustRightInd w:val="0"/>
        <w:spacing w:after="0" w:line="240" w:lineRule="auto"/>
        <w:ind w:left="426" w:hanging="426"/>
        <w:jc w:val="both"/>
        <w:rPr>
          <w:rFonts w:ascii="Calibri" w:hAnsi="Calibri" w:cs="Calibri"/>
          <w:noProof/>
          <w:szCs w:val="24"/>
        </w:rPr>
      </w:pPr>
      <w:r w:rsidRPr="0060077E">
        <w:rPr>
          <w:rFonts w:ascii="Calibri" w:hAnsi="Calibri" w:cs="Calibri"/>
          <w:noProof/>
          <w:szCs w:val="24"/>
        </w:rPr>
        <w:t xml:space="preserve">18. </w:t>
      </w:r>
      <w:r w:rsidRPr="0060077E">
        <w:rPr>
          <w:rFonts w:ascii="Calibri" w:hAnsi="Calibri" w:cs="Calibri"/>
          <w:noProof/>
          <w:szCs w:val="24"/>
        </w:rPr>
        <w:tab/>
        <w:t xml:space="preserve">Jeon GE, Cha NH, Sok SR. Factors influencing the dysmenorrhea among Korean adolescents in middle school. J Phys Ther Sci. 2014;26(9):1337–43. </w:t>
      </w:r>
    </w:p>
    <w:p w14:paraId="3C509CC4" w14:textId="77777777" w:rsidR="0060077E" w:rsidRPr="0060077E" w:rsidRDefault="0060077E" w:rsidP="00191606">
      <w:pPr>
        <w:widowControl w:val="0"/>
        <w:tabs>
          <w:tab w:val="left" w:pos="426"/>
        </w:tabs>
        <w:autoSpaceDE w:val="0"/>
        <w:autoSpaceDN w:val="0"/>
        <w:adjustRightInd w:val="0"/>
        <w:spacing w:after="0" w:line="240" w:lineRule="auto"/>
        <w:ind w:left="426" w:hanging="426"/>
        <w:jc w:val="both"/>
        <w:rPr>
          <w:rFonts w:ascii="Calibri" w:hAnsi="Calibri" w:cs="Calibri"/>
          <w:noProof/>
          <w:szCs w:val="24"/>
        </w:rPr>
      </w:pPr>
      <w:r w:rsidRPr="0060077E">
        <w:rPr>
          <w:rFonts w:ascii="Calibri" w:hAnsi="Calibri" w:cs="Calibri"/>
          <w:noProof/>
          <w:szCs w:val="24"/>
        </w:rPr>
        <w:t xml:space="preserve">19. </w:t>
      </w:r>
      <w:r w:rsidRPr="0060077E">
        <w:rPr>
          <w:rFonts w:ascii="Calibri" w:hAnsi="Calibri" w:cs="Calibri"/>
          <w:noProof/>
          <w:szCs w:val="24"/>
        </w:rPr>
        <w:tab/>
        <w:t xml:space="preserve">Novadela NIT, Hardini RA, Mugiati M. Perbandingan terapi air putih dengan kompres hangat terhadap penurunan skala nyeri haid (dismenorea primer) pada remaja. J Ilm Keperawatan Sai Betik. 2019;14(2):219–25. </w:t>
      </w:r>
    </w:p>
    <w:p w14:paraId="7B9AE9D6" w14:textId="77777777" w:rsidR="0060077E" w:rsidRPr="0060077E" w:rsidRDefault="0060077E" w:rsidP="00191606">
      <w:pPr>
        <w:widowControl w:val="0"/>
        <w:tabs>
          <w:tab w:val="left" w:pos="426"/>
        </w:tabs>
        <w:autoSpaceDE w:val="0"/>
        <w:autoSpaceDN w:val="0"/>
        <w:adjustRightInd w:val="0"/>
        <w:spacing w:after="0" w:line="240" w:lineRule="auto"/>
        <w:ind w:left="426" w:hanging="426"/>
        <w:jc w:val="both"/>
        <w:rPr>
          <w:rFonts w:ascii="Calibri" w:hAnsi="Calibri" w:cs="Calibri"/>
          <w:noProof/>
          <w:szCs w:val="24"/>
        </w:rPr>
      </w:pPr>
      <w:r w:rsidRPr="0060077E">
        <w:rPr>
          <w:rFonts w:ascii="Calibri" w:hAnsi="Calibri" w:cs="Calibri"/>
          <w:noProof/>
          <w:szCs w:val="24"/>
        </w:rPr>
        <w:t xml:space="preserve">20. </w:t>
      </w:r>
      <w:r w:rsidRPr="0060077E">
        <w:rPr>
          <w:rFonts w:ascii="Calibri" w:hAnsi="Calibri" w:cs="Calibri"/>
          <w:noProof/>
          <w:szCs w:val="24"/>
        </w:rPr>
        <w:tab/>
        <w:t xml:space="preserve">Mou L et al. Mediating effect of interpersonal relations on negative emotions and dysmenorrhea in female adolescents. Gen psychiatry. 2019;32(1). </w:t>
      </w:r>
    </w:p>
    <w:p w14:paraId="0109A065" w14:textId="77777777" w:rsidR="0060077E" w:rsidRPr="0060077E" w:rsidRDefault="0060077E" w:rsidP="00191606">
      <w:pPr>
        <w:widowControl w:val="0"/>
        <w:tabs>
          <w:tab w:val="left" w:pos="426"/>
        </w:tabs>
        <w:autoSpaceDE w:val="0"/>
        <w:autoSpaceDN w:val="0"/>
        <w:adjustRightInd w:val="0"/>
        <w:spacing w:after="0" w:line="240" w:lineRule="auto"/>
        <w:ind w:left="426" w:hanging="426"/>
        <w:jc w:val="both"/>
        <w:rPr>
          <w:rFonts w:ascii="Calibri" w:hAnsi="Calibri" w:cs="Calibri"/>
          <w:noProof/>
        </w:rPr>
      </w:pPr>
      <w:r w:rsidRPr="0060077E">
        <w:rPr>
          <w:rFonts w:ascii="Calibri" w:hAnsi="Calibri" w:cs="Calibri"/>
          <w:noProof/>
          <w:szCs w:val="24"/>
        </w:rPr>
        <w:t xml:space="preserve">21. </w:t>
      </w:r>
      <w:r w:rsidRPr="0060077E">
        <w:rPr>
          <w:rFonts w:ascii="Calibri" w:hAnsi="Calibri" w:cs="Calibri"/>
          <w:noProof/>
          <w:szCs w:val="24"/>
        </w:rPr>
        <w:tab/>
        <w:t xml:space="preserve">Unsal A et al. Prevalence of dysmenorrhea and its effect on quality of life among a group of female university students. Ups J Med Sci. 2010;115(2):138–45. </w:t>
      </w:r>
    </w:p>
    <w:p w14:paraId="1F3590BD" w14:textId="77777777" w:rsidR="00860210" w:rsidRPr="00830BAD" w:rsidRDefault="00694C28" w:rsidP="00191606">
      <w:pPr>
        <w:widowControl w:val="0"/>
        <w:tabs>
          <w:tab w:val="left" w:pos="426"/>
        </w:tabs>
        <w:autoSpaceDE w:val="0"/>
        <w:autoSpaceDN w:val="0"/>
        <w:adjustRightInd w:val="0"/>
        <w:spacing w:after="0" w:line="240" w:lineRule="auto"/>
        <w:ind w:left="426" w:hanging="426"/>
        <w:jc w:val="both"/>
        <w:rPr>
          <w:rFonts w:eastAsia="Times New Roman" w:cstheme="minorHAnsi"/>
          <w:b/>
        </w:rPr>
      </w:pPr>
      <w:r w:rsidRPr="00830BAD">
        <w:rPr>
          <w:rFonts w:eastAsia="Times New Roman" w:cstheme="minorHAnsi"/>
          <w:b/>
          <w:noProof/>
          <w:highlight w:val="lightGray"/>
          <w:lang w:val="en-GB"/>
        </w:rPr>
        <w:fldChar w:fldCharType="end"/>
      </w:r>
    </w:p>
    <w:sectPr w:rsidR="00860210" w:rsidRPr="00830BAD" w:rsidSect="002C71F6">
      <w:pgSz w:w="12242" w:h="15842" w:code="1"/>
      <w:pgMar w:top="1418" w:right="170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41AA"/>
    <w:multiLevelType w:val="hybridMultilevel"/>
    <w:tmpl w:val="8CB8F0D0"/>
    <w:lvl w:ilvl="0" w:tplc="23249E8A">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8E853D7"/>
    <w:multiLevelType w:val="hybridMultilevel"/>
    <w:tmpl w:val="7B84DA04"/>
    <w:lvl w:ilvl="0" w:tplc="B94E648A">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123117E7"/>
    <w:multiLevelType w:val="hybridMultilevel"/>
    <w:tmpl w:val="E430B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44D01"/>
    <w:multiLevelType w:val="hybridMultilevel"/>
    <w:tmpl w:val="7F485D8A"/>
    <w:lvl w:ilvl="0" w:tplc="E3D2789C">
      <w:start w:val="1"/>
      <w:numFmt w:val="upperLetter"/>
      <w:lvlText w:val="%1."/>
      <w:lvlJc w:val="left"/>
      <w:pPr>
        <w:ind w:left="644" w:hanging="360"/>
      </w:pPr>
      <w:rPr>
        <w:rFonts w:hint="default"/>
        <w:sz w:val="22"/>
        <w:szCs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0C567FF"/>
    <w:multiLevelType w:val="hybridMultilevel"/>
    <w:tmpl w:val="B0204EA0"/>
    <w:lvl w:ilvl="0" w:tplc="8E06F294">
      <w:start w:val="1"/>
      <w:numFmt w:val="decimal"/>
      <w:lvlText w:val="%1."/>
      <w:lvlJc w:val="left"/>
      <w:pPr>
        <w:ind w:left="720" w:hanging="360"/>
      </w:pPr>
      <w:rPr>
        <w:rFonts w:eastAsia="Times New Roman" w:hint="default"/>
        <w:color w:val="0D0D0D" w:themeColor="text1" w:themeTint="F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3E4166"/>
    <w:multiLevelType w:val="hybridMultilevel"/>
    <w:tmpl w:val="D5942D50"/>
    <w:lvl w:ilvl="0" w:tplc="E3CC908E">
      <w:start w:val="1"/>
      <w:numFmt w:val="decimal"/>
      <w:lvlText w:val="%1."/>
      <w:lvlJc w:val="left"/>
      <w:pPr>
        <w:ind w:left="720" w:hanging="360"/>
      </w:pPr>
      <w:rPr>
        <w:rFonts w:asciiTheme="minorHAnsi" w:eastAsia="Times New Roman"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5D6297"/>
    <w:multiLevelType w:val="hybridMultilevel"/>
    <w:tmpl w:val="86B0895A"/>
    <w:lvl w:ilvl="0" w:tplc="BE9AB8BA">
      <w:start w:val="1"/>
      <w:numFmt w:val="decimal"/>
      <w:lvlText w:val="%1."/>
      <w:lvlJc w:val="left"/>
      <w:pPr>
        <w:ind w:left="720" w:hanging="360"/>
      </w:pPr>
      <w:rPr>
        <w:rFonts w:eastAsia="Times New Roman"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660440"/>
    <w:multiLevelType w:val="hybridMultilevel"/>
    <w:tmpl w:val="1EC6007A"/>
    <w:lvl w:ilvl="0" w:tplc="E222F6E4">
      <w:start w:val="1"/>
      <w:numFmt w:val="decimal"/>
      <w:lvlText w:val="%1."/>
      <w:lvlJc w:val="left"/>
      <w:pPr>
        <w:ind w:left="927" w:hanging="360"/>
      </w:pPr>
      <w:rPr>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15:restartNumberingAfterBreak="0">
    <w:nsid w:val="5EA17EE0"/>
    <w:multiLevelType w:val="hybridMultilevel"/>
    <w:tmpl w:val="8CECAF8E"/>
    <w:lvl w:ilvl="0" w:tplc="2E909D56">
      <w:start w:val="1"/>
      <w:numFmt w:val="decimal"/>
      <w:lvlText w:val="%1)"/>
      <w:lvlJc w:val="left"/>
      <w:pPr>
        <w:ind w:left="1865" w:hanging="360"/>
      </w:pPr>
    </w:lvl>
    <w:lvl w:ilvl="1" w:tplc="04090019">
      <w:start w:val="1"/>
      <w:numFmt w:val="lowerLetter"/>
      <w:lvlText w:val="%2."/>
      <w:lvlJc w:val="left"/>
      <w:pPr>
        <w:ind w:left="2585" w:hanging="360"/>
      </w:pPr>
    </w:lvl>
    <w:lvl w:ilvl="2" w:tplc="0409001B">
      <w:start w:val="1"/>
      <w:numFmt w:val="lowerRoman"/>
      <w:lvlText w:val="%3."/>
      <w:lvlJc w:val="right"/>
      <w:pPr>
        <w:ind w:left="3305" w:hanging="180"/>
      </w:pPr>
    </w:lvl>
    <w:lvl w:ilvl="3" w:tplc="0409000F">
      <w:start w:val="1"/>
      <w:numFmt w:val="decimal"/>
      <w:lvlText w:val="%4."/>
      <w:lvlJc w:val="left"/>
      <w:pPr>
        <w:ind w:left="4025" w:hanging="360"/>
      </w:pPr>
    </w:lvl>
    <w:lvl w:ilvl="4" w:tplc="04090019">
      <w:start w:val="1"/>
      <w:numFmt w:val="lowerLetter"/>
      <w:lvlText w:val="%5."/>
      <w:lvlJc w:val="left"/>
      <w:pPr>
        <w:ind w:left="4745" w:hanging="360"/>
      </w:pPr>
    </w:lvl>
    <w:lvl w:ilvl="5" w:tplc="0409001B">
      <w:start w:val="1"/>
      <w:numFmt w:val="lowerRoman"/>
      <w:lvlText w:val="%6."/>
      <w:lvlJc w:val="right"/>
      <w:pPr>
        <w:ind w:left="5465" w:hanging="180"/>
      </w:pPr>
    </w:lvl>
    <w:lvl w:ilvl="6" w:tplc="0409000F">
      <w:start w:val="1"/>
      <w:numFmt w:val="decimal"/>
      <w:lvlText w:val="%7."/>
      <w:lvlJc w:val="left"/>
      <w:pPr>
        <w:ind w:left="6185" w:hanging="360"/>
      </w:pPr>
    </w:lvl>
    <w:lvl w:ilvl="7" w:tplc="04090019">
      <w:start w:val="1"/>
      <w:numFmt w:val="lowerLetter"/>
      <w:lvlText w:val="%8."/>
      <w:lvlJc w:val="left"/>
      <w:pPr>
        <w:ind w:left="6905" w:hanging="360"/>
      </w:pPr>
    </w:lvl>
    <w:lvl w:ilvl="8" w:tplc="0409001B">
      <w:start w:val="1"/>
      <w:numFmt w:val="lowerRoman"/>
      <w:lvlText w:val="%9."/>
      <w:lvlJc w:val="right"/>
      <w:pPr>
        <w:ind w:left="7625" w:hanging="180"/>
      </w:pPr>
    </w:lvl>
  </w:abstractNum>
  <w:abstractNum w:abstractNumId="9" w15:restartNumberingAfterBreak="0">
    <w:nsid w:val="5EAB2191"/>
    <w:multiLevelType w:val="hybridMultilevel"/>
    <w:tmpl w:val="B930F5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50F3DA2"/>
    <w:multiLevelType w:val="hybridMultilevel"/>
    <w:tmpl w:val="7E38B140"/>
    <w:lvl w:ilvl="0" w:tplc="594C39AE">
      <w:start w:val="1"/>
      <w:numFmt w:val="upperLetter"/>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D14675A"/>
    <w:multiLevelType w:val="hybridMultilevel"/>
    <w:tmpl w:val="9AE24642"/>
    <w:lvl w:ilvl="0" w:tplc="2A30FD8C">
      <w:start w:val="1"/>
      <w:numFmt w:val="decimal"/>
      <w:lvlText w:val="%1."/>
      <w:lvlJc w:val="left"/>
      <w:pPr>
        <w:ind w:left="720" w:hanging="360"/>
      </w:pPr>
      <w:rPr>
        <w:rFonts w:asciiTheme="minorHAnsi" w:eastAsia="Times New Roman"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6D153D"/>
    <w:multiLevelType w:val="hybridMultilevel"/>
    <w:tmpl w:val="D6C00152"/>
    <w:lvl w:ilvl="0" w:tplc="5740AE78">
      <w:start w:val="3"/>
      <w:numFmt w:val="upp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xsDAxBgIDQyNzUyUdpeDU4uLM/DyQAqNaAL/DWeosAAAA"/>
  </w:docVars>
  <w:rsids>
    <w:rsidRoot w:val="002432F6"/>
    <w:rsid w:val="00020F4E"/>
    <w:rsid w:val="000217C4"/>
    <w:rsid w:val="00032632"/>
    <w:rsid w:val="00062845"/>
    <w:rsid w:val="00065988"/>
    <w:rsid w:val="00065D9E"/>
    <w:rsid w:val="0007514D"/>
    <w:rsid w:val="00076ECD"/>
    <w:rsid w:val="00077D90"/>
    <w:rsid w:val="00092FEB"/>
    <w:rsid w:val="00094998"/>
    <w:rsid w:val="000C2A9B"/>
    <w:rsid w:val="000E6965"/>
    <w:rsid w:val="000E7F8C"/>
    <w:rsid w:val="000F143A"/>
    <w:rsid w:val="000F42B2"/>
    <w:rsid w:val="000F5885"/>
    <w:rsid w:val="00102E2A"/>
    <w:rsid w:val="00111108"/>
    <w:rsid w:val="001148DD"/>
    <w:rsid w:val="001313CD"/>
    <w:rsid w:val="00135AAA"/>
    <w:rsid w:val="00135E8E"/>
    <w:rsid w:val="00151199"/>
    <w:rsid w:val="00154427"/>
    <w:rsid w:val="00155C26"/>
    <w:rsid w:val="0018491D"/>
    <w:rsid w:val="00191606"/>
    <w:rsid w:val="0019523D"/>
    <w:rsid w:val="001A3210"/>
    <w:rsid w:val="001A3C05"/>
    <w:rsid w:val="001B0D54"/>
    <w:rsid w:val="001C5CFE"/>
    <w:rsid w:val="001E33DA"/>
    <w:rsid w:val="001F624F"/>
    <w:rsid w:val="002155FB"/>
    <w:rsid w:val="002432F6"/>
    <w:rsid w:val="002603E6"/>
    <w:rsid w:val="00275547"/>
    <w:rsid w:val="0028397F"/>
    <w:rsid w:val="00285506"/>
    <w:rsid w:val="00296773"/>
    <w:rsid w:val="002A6002"/>
    <w:rsid w:val="002C71F6"/>
    <w:rsid w:val="002F24C1"/>
    <w:rsid w:val="00307ABE"/>
    <w:rsid w:val="00335DCF"/>
    <w:rsid w:val="003446E1"/>
    <w:rsid w:val="00355943"/>
    <w:rsid w:val="00372B69"/>
    <w:rsid w:val="0037633C"/>
    <w:rsid w:val="003821EF"/>
    <w:rsid w:val="00384188"/>
    <w:rsid w:val="00390660"/>
    <w:rsid w:val="00394FD6"/>
    <w:rsid w:val="003B7BE5"/>
    <w:rsid w:val="003F0BFF"/>
    <w:rsid w:val="00456EFF"/>
    <w:rsid w:val="00483081"/>
    <w:rsid w:val="00493120"/>
    <w:rsid w:val="004A2CA5"/>
    <w:rsid w:val="004A6026"/>
    <w:rsid w:val="004C5AB6"/>
    <w:rsid w:val="00500CED"/>
    <w:rsid w:val="005055B2"/>
    <w:rsid w:val="00557259"/>
    <w:rsid w:val="00564514"/>
    <w:rsid w:val="00571973"/>
    <w:rsid w:val="00597592"/>
    <w:rsid w:val="005B7CBE"/>
    <w:rsid w:val="005D15F4"/>
    <w:rsid w:val="005D5B20"/>
    <w:rsid w:val="005D7635"/>
    <w:rsid w:val="0060077E"/>
    <w:rsid w:val="00625319"/>
    <w:rsid w:val="00627F34"/>
    <w:rsid w:val="00630FE2"/>
    <w:rsid w:val="00637B48"/>
    <w:rsid w:val="00643818"/>
    <w:rsid w:val="0068562A"/>
    <w:rsid w:val="00687A0E"/>
    <w:rsid w:val="00694C28"/>
    <w:rsid w:val="00697A05"/>
    <w:rsid w:val="006A2607"/>
    <w:rsid w:val="006B3F53"/>
    <w:rsid w:val="006D3A1E"/>
    <w:rsid w:val="006E342B"/>
    <w:rsid w:val="006F5EE6"/>
    <w:rsid w:val="00704DE5"/>
    <w:rsid w:val="007075DC"/>
    <w:rsid w:val="007121FD"/>
    <w:rsid w:val="00714DAB"/>
    <w:rsid w:val="00720502"/>
    <w:rsid w:val="00722D84"/>
    <w:rsid w:val="00727CAC"/>
    <w:rsid w:val="00730652"/>
    <w:rsid w:val="00775DEB"/>
    <w:rsid w:val="0078230B"/>
    <w:rsid w:val="0078425A"/>
    <w:rsid w:val="00784C2C"/>
    <w:rsid w:val="007879E3"/>
    <w:rsid w:val="007A3F07"/>
    <w:rsid w:val="007A79F8"/>
    <w:rsid w:val="007B6AEE"/>
    <w:rsid w:val="007F2795"/>
    <w:rsid w:val="00815AAA"/>
    <w:rsid w:val="00830BAD"/>
    <w:rsid w:val="008358C0"/>
    <w:rsid w:val="0084413E"/>
    <w:rsid w:val="00860210"/>
    <w:rsid w:val="00866CD5"/>
    <w:rsid w:val="00894124"/>
    <w:rsid w:val="008E1EB2"/>
    <w:rsid w:val="008E28F9"/>
    <w:rsid w:val="008F54D8"/>
    <w:rsid w:val="00935C4E"/>
    <w:rsid w:val="0096561E"/>
    <w:rsid w:val="00970A25"/>
    <w:rsid w:val="0098528D"/>
    <w:rsid w:val="00994F47"/>
    <w:rsid w:val="009B33F4"/>
    <w:rsid w:val="009D30CB"/>
    <w:rsid w:val="009E2614"/>
    <w:rsid w:val="009E4DF0"/>
    <w:rsid w:val="009F7981"/>
    <w:rsid w:val="00A10858"/>
    <w:rsid w:val="00A147FC"/>
    <w:rsid w:val="00A52906"/>
    <w:rsid w:val="00A6343D"/>
    <w:rsid w:val="00A75EA0"/>
    <w:rsid w:val="00AC2489"/>
    <w:rsid w:val="00AC4B73"/>
    <w:rsid w:val="00B00C5C"/>
    <w:rsid w:val="00B02152"/>
    <w:rsid w:val="00B17759"/>
    <w:rsid w:val="00B177D0"/>
    <w:rsid w:val="00B23887"/>
    <w:rsid w:val="00B23AF1"/>
    <w:rsid w:val="00B375F1"/>
    <w:rsid w:val="00B556B2"/>
    <w:rsid w:val="00B61CD7"/>
    <w:rsid w:val="00B646A0"/>
    <w:rsid w:val="00B865B4"/>
    <w:rsid w:val="00BB3A3D"/>
    <w:rsid w:val="00BB7D60"/>
    <w:rsid w:val="00BC34E1"/>
    <w:rsid w:val="00BE2770"/>
    <w:rsid w:val="00C03D1B"/>
    <w:rsid w:val="00C17085"/>
    <w:rsid w:val="00C20F00"/>
    <w:rsid w:val="00C4384E"/>
    <w:rsid w:val="00C465DA"/>
    <w:rsid w:val="00C70DC4"/>
    <w:rsid w:val="00D07A09"/>
    <w:rsid w:val="00D15ADE"/>
    <w:rsid w:val="00D343ED"/>
    <w:rsid w:val="00D472EA"/>
    <w:rsid w:val="00D71C1E"/>
    <w:rsid w:val="00D8025E"/>
    <w:rsid w:val="00D9688D"/>
    <w:rsid w:val="00DA2939"/>
    <w:rsid w:val="00DB7CE7"/>
    <w:rsid w:val="00DE3D93"/>
    <w:rsid w:val="00DF20CF"/>
    <w:rsid w:val="00E116EF"/>
    <w:rsid w:val="00E12FB2"/>
    <w:rsid w:val="00E23479"/>
    <w:rsid w:val="00E41399"/>
    <w:rsid w:val="00E46BB7"/>
    <w:rsid w:val="00EB0A63"/>
    <w:rsid w:val="00EB16CD"/>
    <w:rsid w:val="00EE5C0F"/>
    <w:rsid w:val="00EF1091"/>
    <w:rsid w:val="00EF4B69"/>
    <w:rsid w:val="00F12025"/>
    <w:rsid w:val="00F47069"/>
    <w:rsid w:val="00F60A0F"/>
    <w:rsid w:val="00F66F78"/>
    <w:rsid w:val="00F95945"/>
    <w:rsid w:val="00FA0507"/>
    <w:rsid w:val="00FC4B7E"/>
    <w:rsid w:val="00FE63AC"/>
    <w:rsid w:val="00FE66B7"/>
    <w:rsid w:val="00FF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EDA67"/>
  <w15:chartTrackingRefBased/>
  <w15:docId w15:val="{550E229E-872E-46AE-9437-A66357D4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2F6"/>
    <w:rPr>
      <w:color w:val="0563C1" w:themeColor="hyperlink"/>
      <w:u w:val="single"/>
    </w:rPr>
  </w:style>
  <w:style w:type="paragraph" w:styleId="ListParagraph">
    <w:name w:val="List Paragraph"/>
    <w:aliases w:val="UGEX'Z"/>
    <w:basedOn w:val="Normal"/>
    <w:link w:val="ListParagraphChar"/>
    <w:uiPriority w:val="34"/>
    <w:qFormat/>
    <w:rsid w:val="00EE5C0F"/>
    <w:pPr>
      <w:spacing w:after="200" w:line="276" w:lineRule="auto"/>
      <w:ind w:left="720"/>
      <w:contextualSpacing/>
    </w:pPr>
    <w:rPr>
      <w:rFonts w:ascii="Calibri" w:eastAsia="Calibri" w:hAnsi="Calibri" w:cs="Times New Roman"/>
      <w:lang w:val="en-GB"/>
    </w:rPr>
  </w:style>
  <w:style w:type="character" w:customStyle="1" w:styleId="ListParagraphChar">
    <w:name w:val="List Paragraph Char"/>
    <w:aliases w:val="UGEX'Z Char"/>
    <w:link w:val="ListParagraph"/>
    <w:uiPriority w:val="34"/>
    <w:locked/>
    <w:rsid w:val="00EE5C0F"/>
    <w:rPr>
      <w:rFonts w:ascii="Calibri" w:eastAsia="Calibri" w:hAnsi="Calibri" w:cs="Times New Roman"/>
      <w:lang w:val="en-GB"/>
    </w:rPr>
  </w:style>
  <w:style w:type="table" w:styleId="TableGrid">
    <w:name w:val="Table Grid"/>
    <w:basedOn w:val="TableNormal"/>
    <w:uiPriority w:val="39"/>
    <w:rsid w:val="00FC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842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50207">
      <w:bodyDiv w:val="1"/>
      <w:marLeft w:val="0"/>
      <w:marRight w:val="0"/>
      <w:marTop w:val="0"/>
      <w:marBottom w:val="0"/>
      <w:divBdr>
        <w:top w:val="none" w:sz="0" w:space="0" w:color="auto"/>
        <w:left w:val="none" w:sz="0" w:space="0" w:color="auto"/>
        <w:bottom w:val="none" w:sz="0" w:space="0" w:color="auto"/>
        <w:right w:val="none" w:sz="0" w:space="0" w:color="auto"/>
      </w:divBdr>
    </w:div>
    <w:div w:id="510922543">
      <w:bodyDiv w:val="1"/>
      <w:marLeft w:val="0"/>
      <w:marRight w:val="0"/>
      <w:marTop w:val="0"/>
      <w:marBottom w:val="0"/>
      <w:divBdr>
        <w:top w:val="none" w:sz="0" w:space="0" w:color="auto"/>
        <w:left w:val="none" w:sz="0" w:space="0" w:color="auto"/>
        <w:bottom w:val="none" w:sz="0" w:space="0" w:color="auto"/>
        <w:right w:val="none" w:sz="0" w:space="0" w:color="auto"/>
      </w:divBdr>
    </w:div>
    <w:div w:id="667026465">
      <w:bodyDiv w:val="1"/>
      <w:marLeft w:val="0"/>
      <w:marRight w:val="0"/>
      <w:marTop w:val="0"/>
      <w:marBottom w:val="0"/>
      <w:divBdr>
        <w:top w:val="none" w:sz="0" w:space="0" w:color="auto"/>
        <w:left w:val="none" w:sz="0" w:space="0" w:color="auto"/>
        <w:bottom w:val="none" w:sz="0" w:space="0" w:color="auto"/>
        <w:right w:val="none" w:sz="0" w:space="0" w:color="auto"/>
      </w:divBdr>
    </w:div>
    <w:div w:id="733626323">
      <w:bodyDiv w:val="1"/>
      <w:marLeft w:val="0"/>
      <w:marRight w:val="0"/>
      <w:marTop w:val="0"/>
      <w:marBottom w:val="0"/>
      <w:divBdr>
        <w:top w:val="none" w:sz="0" w:space="0" w:color="auto"/>
        <w:left w:val="none" w:sz="0" w:space="0" w:color="auto"/>
        <w:bottom w:val="none" w:sz="0" w:space="0" w:color="auto"/>
        <w:right w:val="none" w:sz="0" w:space="0" w:color="auto"/>
      </w:divBdr>
    </w:div>
    <w:div w:id="208275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DFC5FEC-7E4D-4270-9E47-F00EAF835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6004</Words>
  <Characters>34224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Andi nilawati Usman</cp:lastModifiedBy>
  <cp:revision>29</cp:revision>
  <dcterms:created xsi:type="dcterms:W3CDTF">2021-09-05T01:27:00Z</dcterms:created>
  <dcterms:modified xsi:type="dcterms:W3CDTF">2021-09-05T01:46:00Z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81e782c7-d1f8-319a-854d-3db42dfb8089</vt:lpwstr>
  </property>
  <property fmtid="{D5CDD505-2E9C-101B-9397-08002B2CF9AE}" pid="4" name="Mendeley Recent Style Id 0_1">
    <vt:lpwstr>http://csl.mendeley.com/styles/491552201/breastdisease-2</vt:lpwstr>
  </property>
  <property fmtid="{D5CDD505-2E9C-101B-9397-08002B2CF9AE}" pid="5" name="Mendeley Recent Style Name 0_1">
    <vt:lpwstr>Breast Disease - PMC</vt:lpwstr>
  </property>
  <property fmtid="{D5CDD505-2E9C-101B-9397-08002B2CF9AE}" pid="6" name="Mendeley Recent Style Id 1_1">
    <vt:lpwstr>http://csl.mendeley.com/styles/491552201/breastdiseaseunhas</vt:lpwstr>
  </property>
  <property fmtid="{D5CDD505-2E9C-101B-9397-08002B2CF9AE}" pid="7" name="Mendeley Recent Style Name 1_1">
    <vt:lpwstr>Breast Disease Pasca</vt:lpwstr>
  </property>
  <property fmtid="{D5CDD505-2E9C-101B-9397-08002B2CF9AE}" pid="8" name="Mendeley Recent Style Id 2_1">
    <vt:lpwstr>http://www.zotero.org/styles/gaceta-sanitaria</vt:lpwstr>
  </property>
  <property fmtid="{D5CDD505-2E9C-101B-9397-08002B2CF9AE}" pid="9" name="Mendeley Recent Style Name 2_1">
    <vt:lpwstr>Gaceta Sanitaria</vt:lpwstr>
  </property>
  <property fmtid="{D5CDD505-2E9C-101B-9397-08002B2CF9AE}" pid="10" name="Mendeley Recent Style Id 3_1">
    <vt:lpwstr>http://www.zotero.org/styles/ieee</vt:lpwstr>
  </property>
  <property fmtid="{D5CDD505-2E9C-101B-9397-08002B2CF9AE}" pid="11" name="Mendeley Recent Style Name 3_1">
    <vt:lpwstr>IEEE</vt:lpwstr>
  </property>
  <property fmtid="{D5CDD505-2E9C-101B-9397-08002B2CF9AE}" pid="12" name="Mendeley Recent Style Id 4_1">
    <vt:lpwstr>http://csl.mendeley.com/styles/411175231/iop-454RI</vt:lpwstr>
  </property>
  <property fmtid="{D5CDD505-2E9C-101B-9397-08002B2CF9AE}" pid="13" name="Mendeley Recent Style Name 4_1">
    <vt:lpwstr>IOP AS Ahmar</vt:lpwstr>
  </property>
  <property fmtid="{D5CDD505-2E9C-101B-9397-08002B2CF9AE}" pid="14" name="Mendeley Recent Style Id 5_1">
    <vt:lpwstr>http://www.zotero.org/styles/iop-conference-series-earth-and-environmental-science</vt:lpwstr>
  </property>
  <property fmtid="{D5CDD505-2E9C-101B-9397-08002B2CF9AE}" pid="15" name="Mendeley Recent Style Name 5_1">
    <vt:lpwstr>IOP Conference Series: Earth and Environmental Science</vt:lpwstr>
  </property>
  <property fmtid="{D5CDD505-2E9C-101B-9397-08002B2CF9AE}" pid="16" name="Mendeley Recent Style Id 6_1">
    <vt:lpwstr>http://www.zotero.org/styles/springer-vancouver</vt:lpwstr>
  </property>
  <property fmtid="{D5CDD505-2E9C-101B-9397-08002B2CF9AE}" pid="17" name="Mendeley Recent Style Name 6_1">
    <vt:lpwstr>Springer - Vancouver</vt:lpwstr>
  </property>
  <property fmtid="{D5CDD505-2E9C-101B-9397-08002B2CF9AE}" pid="18" name="Mendeley Recent Style Id 7_1">
    <vt:lpwstr>http://www.zotero.org/styles/university-of-york-vancouver</vt:lpwstr>
  </property>
  <property fmtid="{D5CDD505-2E9C-101B-9397-08002B2CF9AE}" pid="19" name="Mendeley Recent Style Name 7_1">
    <vt:lpwstr>University of York - Vancouver</vt:lpwstr>
  </property>
  <property fmtid="{D5CDD505-2E9C-101B-9397-08002B2CF9AE}" pid="20" name="Mendeley Recent Style Id 8_1">
    <vt:lpwstr>http://www.zotero.org/styles/vancouver</vt:lpwstr>
  </property>
  <property fmtid="{D5CDD505-2E9C-101B-9397-08002B2CF9AE}" pid="21" name="Mendeley Recent Style Name 8_1">
    <vt:lpwstr>Vancouver</vt:lpwstr>
  </property>
  <property fmtid="{D5CDD505-2E9C-101B-9397-08002B2CF9AE}" pid="22" name="Mendeley Recent Style Id 9_1">
    <vt:lpwstr>http://www.zotero.org/styles/vancouver-author-date</vt:lpwstr>
  </property>
  <property fmtid="{D5CDD505-2E9C-101B-9397-08002B2CF9AE}" pid="23" name="Mendeley Recent Style Name 9_1">
    <vt:lpwstr>Vancouver (author-date)</vt:lpwstr>
  </property>
  <property fmtid="{D5CDD505-2E9C-101B-9397-08002B2CF9AE}" pid="24" name="Mendeley Citation Style_1">
    <vt:lpwstr>http://www.zotero.org/styles/gaceta-sanitaria</vt:lpwstr>
  </property>
</Properties>
</file>